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86" w:rsidRDefault="00A94D63">
      <w:pPr>
        <w:jc w:val="center"/>
        <w:rPr>
          <w:rFonts w:asciiTheme="minorHAnsi" w:hAnsiTheme="minorHAnsi" w:cs="Arial"/>
          <w:b/>
          <w:bCs/>
          <w:smallCaps/>
          <w:color w:val="000000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="Arial"/>
          <w:b/>
          <w:bCs/>
          <w:smallCaps/>
          <w:color w:val="000000"/>
          <w:sz w:val="28"/>
          <w:szCs w:val="28"/>
        </w:rPr>
        <w:t>List of 20</w:t>
      </w:r>
    </w:p>
    <w:p w:rsidR="00DC0286" w:rsidRDefault="00A94D63">
      <w:pPr>
        <w:jc w:val="center"/>
        <w:rPr>
          <w:rFonts w:asciiTheme="minorHAnsi" w:hAnsiTheme="minorHAnsi" w:cs="Arial"/>
          <w:b/>
          <w:bCs/>
          <w:smallCaps/>
          <w:color w:val="000000"/>
          <w:sz w:val="28"/>
          <w:szCs w:val="28"/>
        </w:rPr>
      </w:pPr>
      <w:r>
        <w:rPr>
          <w:rFonts w:asciiTheme="minorHAnsi" w:hAnsiTheme="minorHAnsi" w:cs="Arial"/>
          <w:b/>
          <w:bCs/>
          <w:smallCaps/>
          <w:color w:val="000000"/>
          <w:sz w:val="28"/>
          <w:szCs w:val="28"/>
        </w:rPr>
        <w:t>Health Care Compliance Association Regional Conference</w:t>
      </w:r>
    </w:p>
    <w:p w:rsidR="00DC0286" w:rsidRDefault="00A94D63">
      <w:pPr>
        <w:jc w:val="center"/>
        <w:rPr>
          <w:rFonts w:asciiTheme="minorHAnsi" w:hAnsiTheme="minorHAnsi" w:cs="Arial"/>
          <w:b/>
          <w:bCs/>
          <w:smallCaps/>
          <w:color w:val="000000"/>
          <w:sz w:val="28"/>
          <w:szCs w:val="28"/>
        </w:rPr>
      </w:pPr>
      <w:r>
        <w:rPr>
          <w:rFonts w:asciiTheme="minorHAnsi" w:hAnsiTheme="minorHAnsi" w:cs="Arial"/>
          <w:b/>
          <w:bCs/>
          <w:smallCaps/>
          <w:color w:val="000000"/>
          <w:sz w:val="28"/>
          <w:szCs w:val="28"/>
        </w:rPr>
        <w:t>Indianapolis, IN</w:t>
      </w:r>
    </w:p>
    <w:p w:rsidR="00DC0286" w:rsidRDefault="00A94D63">
      <w:pPr>
        <w:jc w:val="center"/>
        <w:rPr>
          <w:rFonts w:asciiTheme="minorHAnsi" w:hAnsiTheme="minorHAnsi" w:cs="Arial"/>
          <w:b/>
          <w:bCs/>
          <w:smallCaps/>
          <w:color w:val="000000"/>
        </w:rPr>
      </w:pPr>
      <w:r>
        <w:rPr>
          <w:rFonts w:asciiTheme="minorHAnsi" w:hAnsiTheme="minorHAnsi" w:cs="Arial"/>
          <w:b/>
          <w:bCs/>
          <w:smallCaps/>
          <w:color w:val="000000"/>
        </w:rPr>
        <w:t>September 30, 2016</w:t>
      </w:r>
    </w:p>
    <w:p w:rsidR="00DC0286" w:rsidRDefault="00DC0286">
      <w:pPr>
        <w:jc w:val="center"/>
        <w:rPr>
          <w:rFonts w:asciiTheme="minorHAnsi" w:hAnsiTheme="minorHAnsi" w:cs="Arial"/>
          <w:b/>
          <w:bCs/>
          <w:smallCaps/>
          <w:color w:val="000000"/>
        </w:rPr>
      </w:pPr>
    </w:p>
    <w:p w:rsidR="00DC0286" w:rsidRDefault="00A94D63">
      <w:pPr>
        <w:rPr>
          <w:rFonts w:asciiTheme="minorHAnsi" w:hAnsiTheme="minorHAnsi" w:cs="Arial"/>
          <w:b/>
          <w:bCs/>
          <w:smallCaps/>
          <w:color w:val="000000"/>
          <w:sz w:val="28"/>
          <w:szCs w:val="28"/>
        </w:rPr>
      </w:pPr>
      <w:r>
        <w:rPr>
          <w:rFonts w:asciiTheme="minorHAnsi" w:hAnsiTheme="minorHAnsi" w:cs="Arial"/>
          <w:b/>
          <w:bCs/>
          <w:smallCaps/>
          <w:color w:val="000000"/>
          <w:sz w:val="28"/>
          <w:szCs w:val="28"/>
        </w:rPr>
        <w:tab/>
        <w:t xml:space="preserve">Title:  What Have We Learned from Halifax, </w:t>
      </w:r>
      <w:proofErr w:type="spellStart"/>
      <w:r>
        <w:rPr>
          <w:rFonts w:asciiTheme="minorHAnsi" w:hAnsiTheme="minorHAnsi" w:cs="Arial"/>
          <w:b/>
          <w:bCs/>
          <w:smallCaps/>
          <w:color w:val="000000"/>
          <w:sz w:val="28"/>
          <w:szCs w:val="28"/>
        </w:rPr>
        <w:t>Tuomey</w:t>
      </w:r>
      <w:proofErr w:type="spellEnd"/>
      <w:r>
        <w:rPr>
          <w:rFonts w:asciiTheme="minorHAnsi" w:hAnsiTheme="minorHAnsi" w:cs="Arial"/>
          <w:b/>
          <w:bCs/>
          <w:smallCaps/>
          <w:color w:val="000000"/>
          <w:sz w:val="28"/>
          <w:szCs w:val="28"/>
        </w:rPr>
        <w:t xml:space="preserve">, North Broward, Adventist, and </w:t>
      </w:r>
      <w:r>
        <w:rPr>
          <w:rFonts w:asciiTheme="minorHAnsi" w:hAnsiTheme="minorHAnsi" w:cs="Arial"/>
          <w:b/>
          <w:bCs/>
          <w:smallCaps/>
          <w:color w:val="000000"/>
          <w:sz w:val="28"/>
          <w:szCs w:val="28"/>
        </w:rPr>
        <w:tab/>
        <w:t>Columbus Regional</w:t>
      </w:r>
    </w:p>
    <w:p w:rsidR="00DC0286" w:rsidRDefault="00DC0286">
      <w:pPr>
        <w:jc w:val="center"/>
        <w:rPr>
          <w:rFonts w:asciiTheme="minorHAnsi" w:hAnsiTheme="minorHAnsi" w:cs="Arial"/>
          <w:b/>
          <w:bCs/>
          <w:smallCaps/>
          <w:color w:val="000000"/>
        </w:rPr>
      </w:pPr>
    </w:p>
    <w:p w:rsidR="00DC0286" w:rsidRDefault="00A94D63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Real Estate:  Valuation of tenant improvements.</w:t>
      </w:r>
    </w:p>
    <w:p w:rsidR="00DC0286" w:rsidRDefault="00A94D63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Time Share Creep:  Agreement and all expenses must be attributed to the time share tenant and expenses divided based upon usage of time, not number of physicians occupying time shared spac</w:t>
      </w:r>
      <w:r>
        <w:rPr>
          <w:rFonts w:asciiTheme="minorHAnsi" w:hAnsiTheme="minorHAnsi"/>
          <w:sz w:val="23"/>
          <w:szCs w:val="23"/>
        </w:rPr>
        <w:t>e.</w:t>
      </w:r>
    </w:p>
    <w:p w:rsidR="00DC0286" w:rsidRDefault="00A94D63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Real Estate:  Value of parking for physician owned medical office building must be allocated to physician owners.</w:t>
      </w:r>
    </w:p>
    <w:p w:rsidR="00DC0286" w:rsidRDefault="00A94D63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Real Estate:  Valet services must be valued and allocated to physician owned medical office building.</w:t>
      </w:r>
    </w:p>
    <w:p w:rsidR="00DC0286" w:rsidRDefault="00A94D63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Paid services (i.e. medical directors</w:t>
      </w:r>
      <w:r>
        <w:rPr>
          <w:rFonts w:asciiTheme="minorHAnsi" w:hAnsiTheme="minorHAnsi"/>
          <w:sz w:val="23"/>
          <w:szCs w:val="23"/>
        </w:rPr>
        <w:t>hips) should use tracking mechanism to validate services rendered.</w:t>
      </w:r>
    </w:p>
    <w:p w:rsidR="00DC0286" w:rsidRDefault="00A94D63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Bonus arrangements in productivity compensation that allocates a split of technical revenue (primary case – Halifax Health).</w:t>
      </w:r>
    </w:p>
    <w:p w:rsidR="00DC0286" w:rsidRDefault="00A94D63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Full-time equivalency validation in compensation arrangement (en</w:t>
      </w:r>
      <w:r>
        <w:rPr>
          <w:rFonts w:asciiTheme="minorHAnsi" w:hAnsiTheme="minorHAnsi"/>
          <w:sz w:val="23"/>
          <w:szCs w:val="23"/>
        </w:rPr>
        <w:t>suring physician is providing 1.0 FTE services if the physician is compensated as 1.0 FTE physician)</w:t>
      </w:r>
    </w:p>
    <w:p w:rsidR="00DC0286" w:rsidRDefault="00A94D63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Documenting reason employed physician arrangement may generate a loss based on the physicians’ professional services instead of downstream technical revenu</w:t>
      </w:r>
      <w:r>
        <w:rPr>
          <w:rFonts w:asciiTheme="minorHAnsi" w:hAnsiTheme="minorHAnsi"/>
          <w:sz w:val="23"/>
          <w:szCs w:val="23"/>
        </w:rPr>
        <w:t>e.</w:t>
      </w:r>
    </w:p>
    <w:p w:rsidR="00DC0286" w:rsidRDefault="00A94D63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Compensation stacking.</w:t>
      </w:r>
    </w:p>
    <w:p w:rsidR="00DC0286" w:rsidRDefault="00A94D63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Validate usefulness of assets in asset purchase agreement (do not value obsolete equipment as if obsolete equipment had a useful value).</w:t>
      </w:r>
    </w:p>
    <w:p w:rsidR="00DC0286" w:rsidRDefault="00A94D63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Not using contribution margin report to “take into account the volume and value of referrals”</w:t>
      </w:r>
      <w:r>
        <w:rPr>
          <w:rFonts w:asciiTheme="minorHAnsi" w:hAnsiTheme="minorHAnsi"/>
          <w:sz w:val="23"/>
          <w:szCs w:val="23"/>
        </w:rPr>
        <w:t xml:space="preserve"> when establishing physician compensation arrangements.</w:t>
      </w:r>
    </w:p>
    <w:p w:rsidR="00DC0286" w:rsidRDefault="00A94D63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Not exceeding contractual compensation maximum in independent contractor compensation arrangements.</w:t>
      </w:r>
    </w:p>
    <w:p w:rsidR="00DC0286" w:rsidRDefault="00A94D63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Part-time employment for outpatient surgeries only.</w:t>
      </w:r>
    </w:p>
    <w:p w:rsidR="00DC0286" w:rsidRDefault="00A94D63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Legal opinion shopping.</w:t>
      </w:r>
    </w:p>
    <w:p w:rsidR="00DC0286" w:rsidRDefault="00A94D63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Misalignment of </w:t>
      </w:r>
      <w:r>
        <w:rPr>
          <w:rFonts w:asciiTheme="minorHAnsi" w:hAnsiTheme="minorHAnsi"/>
          <w:sz w:val="23"/>
          <w:szCs w:val="23"/>
        </w:rPr>
        <w:t>compensation in comparison with productivity (i.e. compensating physician at 90</w:t>
      </w:r>
      <w:r>
        <w:rPr>
          <w:rFonts w:asciiTheme="minorHAnsi" w:hAnsiTheme="minorHAnsi"/>
          <w:sz w:val="23"/>
          <w:szCs w:val="23"/>
          <w:vertAlign w:val="superscript"/>
        </w:rPr>
        <w:t>th</w:t>
      </w:r>
      <w:r>
        <w:rPr>
          <w:rFonts w:asciiTheme="minorHAnsi" w:hAnsiTheme="minorHAnsi"/>
          <w:sz w:val="23"/>
          <w:szCs w:val="23"/>
        </w:rPr>
        <w:t xml:space="preserve"> percentile with 25</w:t>
      </w:r>
      <w:r>
        <w:rPr>
          <w:rFonts w:asciiTheme="minorHAnsi" w:hAnsiTheme="minorHAnsi"/>
          <w:sz w:val="23"/>
          <w:szCs w:val="23"/>
          <w:vertAlign w:val="superscript"/>
        </w:rPr>
        <w:t>th</w:t>
      </w:r>
      <w:r>
        <w:rPr>
          <w:rFonts w:asciiTheme="minorHAnsi" w:hAnsiTheme="minorHAnsi"/>
          <w:sz w:val="23"/>
          <w:szCs w:val="23"/>
        </w:rPr>
        <w:t xml:space="preserve"> percentile productivity [assuming 1.0 FTE clinical allocation]).</w:t>
      </w:r>
    </w:p>
    <w:p w:rsidR="00DC0286" w:rsidRDefault="00A94D63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Use of income approach apart from asset and market valuation approaches.</w:t>
      </w:r>
    </w:p>
    <w:p w:rsidR="00DC0286" w:rsidRDefault="00A94D63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Meeting the “gr</w:t>
      </w:r>
      <w:r>
        <w:rPr>
          <w:rFonts w:asciiTheme="minorHAnsi" w:hAnsiTheme="minorHAnsi"/>
          <w:sz w:val="23"/>
          <w:szCs w:val="23"/>
        </w:rPr>
        <w:t>oup practice” definition under the Stark Law if the in-office ancillary services exception is to be used in a physician compensation arrangement.</w:t>
      </w:r>
    </w:p>
    <w:p w:rsidR="00DC0286" w:rsidRDefault="00A94D63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Non-physician practitioner services performed “incident to” or as a shared service in a physician productivity</w:t>
      </w:r>
      <w:r>
        <w:rPr>
          <w:rFonts w:asciiTheme="minorHAnsi" w:hAnsiTheme="minorHAnsi"/>
          <w:sz w:val="23"/>
          <w:szCs w:val="23"/>
        </w:rPr>
        <w:t xml:space="preserve"> compensation model.</w:t>
      </w:r>
    </w:p>
    <w:p w:rsidR="00DC0286" w:rsidRDefault="00A94D63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Free stuff.</w:t>
      </w:r>
    </w:p>
    <w:p w:rsidR="00DC0286" w:rsidRDefault="00A94D63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b/>
          <w:bCs/>
          <w:smallCaps/>
          <w:color w:val="000000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Medical necessity (i.e., billing for unsupervised services when supervision is required, and non-medically necessary hospital admissions in order to re-establish skilled nursing facility coverage).</w:t>
      </w:r>
    </w:p>
    <w:sectPr w:rsidR="00DC0286">
      <w:headerReference w:type="default" r:id="rId8"/>
      <w:footerReference w:type="default" r:id="rId9"/>
      <w:pgSz w:w="12240" w:h="15840"/>
      <w:pgMar w:top="288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286" w:rsidRDefault="00A94D63">
      <w:r>
        <w:separator/>
      </w:r>
    </w:p>
  </w:endnote>
  <w:endnote w:type="continuationSeparator" w:id="0">
    <w:p w:rsidR="00DC0286" w:rsidRDefault="00A9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286" w:rsidRDefault="00A94D63">
    <w:pPr>
      <w:jc w:val="center"/>
      <w:rPr>
        <w:rFonts w:asciiTheme="minorHAnsi" w:hAnsiTheme="minorHAnsi"/>
        <w:b/>
        <w:color w:val="C00000"/>
        <w:sz w:val="20"/>
        <w:szCs w:val="20"/>
      </w:rPr>
    </w:pPr>
    <w:r>
      <w:rPr>
        <w:rFonts w:asciiTheme="minorHAnsi" w:hAnsiTheme="minorHAnsi"/>
        <w:b/>
        <w:color w:val="C00000"/>
        <w:sz w:val="20"/>
        <w:szCs w:val="20"/>
      </w:rPr>
      <w:t>PREPARED BY:</w:t>
    </w:r>
  </w:p>
  <w:p w:rsidR="00DC0286" w:rsidRDefault="00A94D63">
    <w:pPr>
      <w:jc w:val="center"/>
      <w:rPr>
        <w:rFonts w:asciiTheme="minorHAnsi" w:hAnsiTheme="minorHAnsi" w:cs="Arial"/>
        <w:b/>
        <w:bCs/>
        <w:smallCaps/>
        <w:color w:val="000000"/>
        <w:sz w:val="20"/>
        <w:szCs w:val="20"/>
      </w:rPr>
    </w:pPr>
    <w:r>
      <w:rPr>
        <w:rFonts w:asciiTheme="minorHAnsi" w:hAnsiTheme="minorHAnsi" w:cs="Arial"/>
        <w:b/>
        <w:bCs/>
        <w:smallCaps/>
        <w:color w:val="000000"/>
        <w:sz w:val="20"/>
        <w:szCs w:val="20"/>
      </w:rPr>
      <w:t>Robert A.</w:t>
    </w:r>
    <w:r>
      <w:rPr>
        <w:rFonts w:asciiTheme="minorHAnsi" w:hAnsiTheme="minorHAnsi" w:cs="Arial"/>
        <w:b/>
        <w:bCs/>
        <w:smallCaps/>
        <w:color w:val="000000"/>
        <w:sz w:val="20"/>
        <w:szCs w:val="20"/>
      </w:rPr>
      <w:t xml:space="preserve"> Wade</w:t>
    </w:r>
  </w:p>
  <w:p w:rsidR="00DC0286" w:rsidRDefault="00A94D63">
    <w:pPr>
      <w:jc w:val="center"/>
      <w:rPr>
        <w:rFonts w:asciiTheme="minorHAnsi" w:hAnsiTheme="minorHAnsi" w:cs="Arial"/>
        <w:b/>
        <w:bCs/>
        <w:smallCaps/>
        <w:color w:val="000000"/>
        <w:sz w:val="20"/>
        <w:szCs w:val="20"/>
      </w:rPr>
    </w:pPr>
    <w:r>
      <w:rPr>
        <w:rFonts w:asciiTheme="minorHAnsi" w:hAnsiTheme="minorHAnsi" w:cs="Arial"/>
        <w:b/>
        <w:bCs/>
        <w:smallCaps/>
        <w:color w:val="000000"/>
        <w:sz w:val="20"/>
        <w:szCs w:val="20"/>
      </w:rPr>
      <w:t>Krieg DeVault, LLP</w:t>
    </w:r>
  </w:p>
  <w:p w:rsidR="00DC0286" w:rsidRDefault="00A94D63">
    <w:pPr>
      <w:jc w:val="center"/>
      <w:rPr>
        <w:rFonts w:asciiTheme="minorHAnsi" w:hAnsiTheme="minorHAnsi" w:cs="Arial"/>
        <w:b/>
        <w:bCs/>
        <w:smallCaps/>
        <w:color w:val="000000"/>
        <w:sz w:val="20"/>
        <w:szCs w:val="20"/>
      </w:rPr>
    </w:pPr>
    <w:r>
      <w:rPr>
        <w:rFonts w:asciiTheme="minorHAnsi" w:hAnsiTheme="minorHAnsi" w:cs="Arial"/>
        <w:b/>
        <w:bCs/>
        <w:smallCaps/>
        <w:color w:val="000000"/>
        <w:sz w:val="20"/>
        <w:szCs w:val="20"/>
      </w:rPr>
      <w:t>4101 Edison Lakes Parkway, Ste. 100</w:t>
    </w:r>
  </w:p>
  <w:p w:rsidR="00DC0286" w:rsidRDefault="00A94D63">
    <w:pPr>
      <w:jc w:val="center"/>
      <w:rPr>
        <w:rFonts w:asciiTheme="minorHAnsi" w:hAnsiTheme="minorHAnsi" w:cs="Arial"/>
        <w:b/>
        <w:bCs/>
        <w:smallCaps/>
        <w:color w:val="000000"/>
        <w:sz w:val="20"/>
        <w:szCs w:val="20"/>
      </w:rPr>
    </w:pPr>
    <w:r>
      <w:rPr>
        <w:rFonts w:asciiTheme="minorHAnsi" w:hAnsiTheme="minorHAnsi" w:cs="Arial"/>
        <w:b/>
        <w:bCs/>
        <w:smallCaps/>
        <w:color w:val="000000"/>
        <w:sz w:val="20"/>
        <w:szCs w:val="20"/>
      </w:rPr>
      <w:t>Mishawaka, IN  46545</w:t>
    </w:r>
  </w:p>
  <w:p w:rsidR="00DC0286" w:rsidRDefault="00A94D63">
    <w:pPr>
      <w:jc w:val="center"/>
      <w:rPr>
        <w:rFonts w:asciiTheme="minorHAnsi" w:hAnsiTheme="minorHAnsi" w:cs="Arial"/>
        <w:b/>
        <w:bCs/>
        <w:smallCaps/>
        <w:color w:val="000000"/>
        <w:sz w:val="20"/>
        <w:szCs w:val="20"/>
      </w:rPr>
    </w:pPr>
    <w:r>
      <w:rPr>
        <w:rFonts w:asciiTheme="minorHAnsi" w:hAnsiTheme="minorHAnsi" w:cs="Arial"/>
        <w:b/>
        <w:bCs/>
        <w:smallCaps/>
        <w:color w:val="000000"/>
        <w:sz w:val="20"/>
        <w:szCs w:val="20"/>
      </w:rPr>
      <w:t>(574) 485-2002</w:t>
    </w:r>
  </w:p>
  <w:p w:rsidR="00DC0286" w:rsidRDefault="00A94D63">
    <w:pPr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-942975</wp:posOffset>
              </wp:positionH>
              <wp:positionV relativeFrom="paragraph">
                <wp:posOffset>173990</wp:posOffset>
              </wp:positionV>
              <wp:extent cx="8559165" cy="674370"/>
              <wp:effectExtent l="0" t="0" r="0" b="0"/>
              <wp:wrapNone/>
              <wp:docPr id="5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59165" cy="674370"/>
                      </a:xfrm>
                      <a:prstGeom prst="rect">
                        <a:avLst/>
                      </a:prstGeom>
                      <a:solidFill>
                        <a:srgbClr val="DA20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rect id="Rectangle 14" style="position:absolute;margin-left:-74.25pt;margin-top:13.7pt;width:673.95pt;height:5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a203d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"/>
          </w:pict>
        </mc:Fallback>
      </mc:AlternateContent>
    </w:r>
    <w:r>
      <w:rPr>
        <w:rFonts w:asciiTheme="minorHAnsi" w:hAnsiTheme="minorHAnsi" w:cs="Arial"/>
        <w:b/>
        <w:bCs/>
        <w:smallCaps/>
        <w:color w:val="000000"/>
        <w:sz w:val="20"/>
        <w:szCs w:val="20"/>
      </w:rPr>
      <w:t>bwade@kdlegal.com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286" w:rsidRDefault="00A94D63">
      <w:r>
        <w:separator/>
      </w:r>
    </w:p>
  </w:footnote>
  <w:footnote w:type="continuationSeparator" w:id="0">
    <w:p w:rsidR="00DC0286" w:rsidRDefault="00A94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286" w:rsidRDefault="00A94D63">
    <w:pPr>
      <w:pStyle w:val="Header"/>
    </w:pPr>
    <w:r>
      <w:rPr>
        <w:noProof/>
      </w:rPr>
      <w:drawing>
        <wp:inline distT="0" distB="0" distL="0" distR="0">
          <wp:extent cx="3124200" cy="400050"/>
          <wp:effectExtent l="19050" t="0" r="0" b="0"/>
          <wp:docPr id="3" name="Picture 5" descr="KDV Logo Registered 4c_uncoated (resize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DV Logo Registered 4c_uncoated (resized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C0286" w:rsidRDefault="00DC02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2B7E"/>
    <w:multiLevelType w:val="hybridMultilevel"/>
    <w:tmpl w:val="4AB2FE06"/>
    <w:lvl w:ilvl="0" w:tplc="BDA4E4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86"/>
    <w:rsid w:val="00A94D63"/>
    <w:rsid w:val="00DC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18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rFonts w:ascii="Calibri" w:eastAsia="Times New Roman" w:hAnsi="Calibri"/>
      <w:szCs w:val="24"/>
    </w:rPr>
  </w:style>
  <w:style w:type="paragraph" w:styleId="Heading1">
    <w:name w:val="heading 1"/>
    <w:basedOn w:val="Normal"/>
    <w:link w:val="Heading1Char"/>
    <w:uiPriority w:val="9"/>
    <w:qFormat/>
    <w:pPr>
      <w:keepNext/>
      <w:spacing w:after="240"/>
      <w:outlineLvl w:val="0"/>
    </w:pPr>
    <w:rPr>
      <w:rFonts w:eastAsiaTheme="majorEastAsia" w:cstheme="majorBidi"/>
      <w:bCs/>
      <w:color w:val="000000" w:themeColor="text1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after="240"/>
      <w:ind w:left="720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spacing w:after="240"/>
      <w:ind w:left="1440"/>
      <w:outlineLvl w:val="2"/>
    </w:pPr>
    <w:rPr>
      <w:rFonts w:eastAsiaTheme="majorEastAsia" w:cstheme="majorBidi"/>
      <w:bCs/>
      <w:color w:val="000000" w:themeColor="text1"/>
    </w:rPr>
  </w:style>
  <w:style w:type="paragraph" w:styleId="Heading4">
    <w:name w:val="heading 4"/>
    <w:basedOn w:val="Normal"/>
    <w:link w:val="Heading4Char"/>
    <w:uiPriority w:val="9"/>
    <w:unhideWhenUsed/>
    <w:qFormat/>
    <w:pPr>
      <w:spacing w:after="240"/>
      <w:ind w:left="2160"/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Heading5">
    <w:name w:val="heading 5"/>
    <w:basedOn w:val="Normal"/>
    <w:link w:val="Heading5Char"/>
    <w:uiPriority w:val="9"/>
    <w:unhideWhenUsed/>
    <w:qFormat/>
    <w:pPr>
      <w:spacing w:after="240"/>
      <w:ind w:left="288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link w:val="Heading6Char"/>
    <w:uiPriority w:val="9"/>
    <w:unhideWhenUsed/>
    <w:qFormat/>
    <w:pPr>
      <w:spacing w:after="240"/>
      <w:ind w:left="3600"/>
      <w:outlineLvl w:val="5"/>
    </w:pPr>
    <w:rPr>
      <w:rFonts w:eastAsiaTheme="majorEastAsia" w:cstheme="majorBidi"/>
      <w:iCs/>
      <w:color w:val="000000" w:themeColor="text1"/>
    </w:rPr>
  </w:style>
  <w:style w:type="paragraph" w:styleId="Heading7">
    <w:name w:val="heading 7"/>
    <w:basedOn w:val="Normal"/>
    <w:link w:val="Heading7Char"/>
    <w:uiPriority w:val="9"/>
    <w:unhideWhenUsed/>
    <w:qFormat/>
    <w:pPr>
      <w:spacing w:after="240"/>
      <w:ind w:left="4320"/>
      <w:outlineLvl w:val="6"/>
    </w:pPr>
    <w:rPr>
      <w:rFonts w:eastAsiaTheme="majorEastAsia" w:cstheme="majorBidi"/>
      <w:iCs/>
      <w:color w:val="000000" w:themeColor="text1"/>
    </w:rPr>
  </w:style>
  <w:style w:type="paragraph" w:styleId="Heading8">
    <w:name w:val="heading 8"/>
    <w:basedOn w:val="Normal"/>
    <w:link w:val="Heading8Char"/>
    <w:uiPriority w:val="9"/>
    <w:unhideWhenUsed/>
    <w:qFormat/>
    <w:pPr>
      <w:spacing w:after="240"/>
      <w:ind w:left="504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link w:val="Heading9Char"/>
    <w:uiPriority w:val="9"/>
    <w:unhideWhenUsed/>
    <w:qFormat/>
    <w:pPr>
      <w:spacing w:after="240"/>
      <w:ind w:left="5760"/>
      <w:outlineLvl w:val="8"/>
    </w:pPr>
    <w:rPr>
      <w:rFonts w:eastAsiaTheme="majorEastAsia" w:cstheme="majorBidi"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theme="majorBidi"/>
      <w:bCs/>
      <w:color w:val="000000" w:themeColor="text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theme="majorBidi"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color w:val="000000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iCs/>
      <w:color w:val="000000" w:themeColor="text1"/>
      <w:szCs w:val="20"/>
    </w:rPr>
  </w:style>
  <w:style w:type="paragraph" w:customStyle="1" w:styleId="BlockTextDblKD">
    <w:name w:val="_Block Text Dbl_KD"/>
    <w:basedOn w:val="Normal"/>
    <w:qFormat/>
    <w:pPr>
      <w:spacing w:after="480" w:line="480" w:lineRule="auto"/>
      <w:ind w:left="1440" w:right="1440"/>
      <w:jc w:val="both"/>
    </w:pPr>
  </w:style>
  <w:style w:type="paragraph" w:customStyle="1" w:styleId="BlockTextSglKD">
    <w:name w:val="_Block Text Sgl_KD"/>
    <w:basedOn w:val="Normal"/>
    <w:qFormat/>
    <w:pPr>
      <w:spacing w:after="240"/>
      <w:ind w:left="1440" w:right="1440"/>
      <w:jc w:val="both"/>
    </w:pPr>
  </w:style>
  <w:style w:type="paragraph" w:customStyle="1" w:styleId="BodyTextDblFlushKD">
    <w:name w:val="_Body Text Dbl Flush_KD"/>
    <w:basedOn w:val="Normal"/>
    <w:qFormat/>
    <w:pPr>
      <w:spacing w:after="480" w:line="480" w:lineRule="auto"/>
      <w:jc w:val="both"/>
    </w:pPr>
  </w:style>
  <w:style w:type="paragraph" w:customStyle="1" w:styleId="BodyTextDblIndentKD">
    <w:name w:val="_Body Text Dbl Indent_KD"/>
    <w:basedOn w:val="Normal"/>
    <w:qFormat/>
    <w:pPr>
      <w:spacing w:after="480" w:line="480" w:lineRule="auto"/>
      <w:ind w:firstLine="720"/>
      <w:jc w:val="both"/>
    </w:pPr>
  </w:style>
  <w:style w:type="paragraph" w:customStyle="1" w:styleId="BodyTextSglFlushKD">
    <w:name w:val="_Body Text Sgl Flush_KD"/>
    <w:basedOn w:val="Normal"/>
    <w:qFormat/>
    <w:pPr>
      <w:spacing w:after="240"/>
      <w:jc w:val="both"/>
    </w:pPr>
  </w:style>
  <w:style w:type="paragraph" w:customStyle="1" w:styleId="BodyTextSglIndentKD">
    <w:name w:val="_Body Text Sgl Indent_KD"/>
    <w:basedOn w:val="Normal"/>
    <w:qFormat/>
    <w:pPr>
      <w:spacing w:after="240"/>
      <w:ind w:firstLine="720"/>
      <w:jc w:val="both"/>
    </w:pPr>
  </w:style>
  <w:style w:type="paragraph" w:customStyle="1" w:styleId="TITLECenteredKD">
    <w:name w:val="_TITLE Centered_KD"/>
    <w:basedOn w:val="Normal"/>
    <w:next w:val="Normal"/>
    <w:qFormat/>
    <w:pPr>
      <w:spacing w:after="360"/>
      <w:jc w:val="center"/>
    </w:pPr>
    <w:rPr>
      <w:b/>
      <w:cap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Cs w:val="16"/>
    </w:rPr>
  </w:style>
  <w:style w:type="paragraph" w:styleId="FootnoteText">
    <w:name w:val="footnote text"/>
    <w:basedOn w:val="Normal"/>
    <w:link w:val="FootnoteTextChar"/>
    <w:pPr>
      <w:tabs>
        <w:tab w:val="left" w:pos="288"/>
      </w:tabs>
      <w:spacing w:after="120"/>
      <w:jc w:val="both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eastAsia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eastAsiaTheme="minorHAnsi" w:hAnsi="Times New Roman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18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rFonts w:ascii="Calibri" w:eastAsia="Times New Roman" w:hAnsi="Calibri"/>
      <w:szCs w:val="24"/>
    </w:rPr>
  </w:style>
  <w:style w:type="paragraph" w:styleId="Heading1">
    <w:name w:val="heading 1"/>
    <w:basedOn w:val="Normal"/>
    <w:link w:val="Heading1Char"/>
    <w:uiPriority w:val="9"/>
    <w:qFormat/>
    <w:pPr>
      <w:keepNext/>
      <w:spacing w:after="240"/>
      <w:outlineLvl w:val="0"/>
    </w:pPr>
    <w:rPr>
      <w:rFonts w:eastAsiaTheme="majorEastAsia" w:cstheme="majorBidi"/>
      <w:bCs/>
      <w:color w:val="000000" w:themeColor="text1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after="240"/>
      <w:ind w:left="720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spacing w:after="240"/>
      <w:ind w:left="1440"/>
      <w:outlineLvl w:val="2"/>
    </w:pPr>
    <w:rPr>
      <w:rFonts w:eastAsiaTheme="majorEastAsia" w:cstheme="majorBidi"/>
      <w:bCs/>
      <w:color w:val="000000" w:themeColor="text1"/>
    </w:rPr>
  </w:style>
  <w:style w:type="paragraph" w:styleId="Heading4">
    <w:name w:val="heading 4"/>
    <w:basedOn w:val="Normal"/>
    <w:link w:val="Heading4Char"/>
    <w:uiPriority w:val="9"/>
    <w:unhideWhenUsed/>
    <w:qFormat/>
    <w:pPr>
      <w:spacing w:after="240"/>
      <w:ind w:left="2160"/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Heading5">
    <w:name w:val="heading 5"/>
    <w:basedOn w:val="Normal"/>
    <w:link w:val="Heading5Char"/>
    <w:uiPriority w:val="9"/>
    <w:unhideWhenUsed/>
    <w:qFormat/>
    <w:pPr>
      <w:spacing w:after="240"/>
      <w:ind w:left="288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link w:val="Heading6Char"/>
    <w:uiPriority w:val="9"/>
    <w:unhideWhenUsed/>
    <w:qFormat/>
    <w:pPr>
      <w:spacing w:after="240"/>
      <w:ind w:left="3600"/>
      <w:outlineLvl w:val="5"/>
    </w:pPr>
    <w:rPr>
      <w:rFonts w:eastAsiaTheme="majorEastAsia" w:cstheme="majorBidi"/>
      <w:iCs/>
      <w:color w:val="000000" w:themeColor="text1"/>
    </w:rPr>
  </w:style>
  <w:style w:type="paragraph" w:styleId="Heading7">
    <w:name w:val="heading 7"/>
    <w:basedOn w:val="Normal"/>
    <w:link w:val="Heading7Char"/>
    <w:uiPriority w:val="9"/>
    <w:unhideWhenUsed/>
    <w:qFormat/>
    <w:pPr>
      <w:spacing w:after="240"/>
      <w:ind w:left="4320"/>
      <w:outlineLvl w:val="6"/>
    </w:pPr>
    <w:rPr>
      <w:rFonts w:eastAsiaTheme="majorEastAsia" w:cstheme="majorBidi"/>
      <w:iCs/>
      <w:color w:val="000000" w:themeColor="text1"/>
    </w:rPr>
  </w:style>
  <w:style w:type="paragraph" w:styleId="Heading8">
    <w:name w:val="heading 8"/>
    <w:basedOn w:val="Normal"/>
    <w:link w:val="Heading8Char"/>
    <w:uiPriority w:val="9"/>
    <w:unhideWhenUsed/>
    <w:qFormat/>
    <w:pPr>
      <w:spacing w:after="240"/>
      <w:ind w:left="504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link w:val="Heading9Char"/>
    <w:uiPriority w:val="9"/>
    <w:unhideWhenUsed/>
    <w:qFormat/>
    <w:pPr>
      <w:spacing w:after="240"/>
      <w:ind w:left="5760"/>
      <w:outlineLvl w:val="8"/>
    </w:pPr>
    <w:rPr>
      <w:rFonts w:eastAsiaTheme="majorEastAsia" w:cstheme="majorBidi"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theme="majorBidi"/>
      <w:bCs/>
      <w:color w:val="000000" w:themeColor="text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theme="majorBidi"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color w:val="000000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iCs/>
      <w:color w:val="000000" w:themeColor="text1"/>
      <w:szCs w:val="20"/>
    </w:rPr>
  </w:style>
  <w:style w:type="paragraph" w:customStyle="1" w:styleId="BlockTextDblKD">
    <w:name w:val="_Block Text Dbl_KD"/>
    <w:basedOn w:val="Normal"/>
    <w:qFormat/>
    <w:pPr>
      <w:spacing w:after="480" w:line="480" w:lineRule="auto"/>
      <w:ind w:left="1440" w:right="1440"/>
      <w:jc w:val="both"/>
    </w:pPr>
  </w:style>
  <w:style w:type="paragraph" w:customStyle="1" w:styleId="BlockTextSglKD">
    <w:name w:val="_Block Text Sgl_KD"/>
    <w:basedOn w:val="Normal"/>
    <w:qFormat/>
    <w:pPr>
      <w:spacing w:after="240"/>
      <w:ind w:left="1440" w:right="1440"/>
      <w:jc w:val="both"/>
    </w:pPr>
  </w:style>
  <w:style w:type="paragraph" w:customStyle="1" w:styleId="BodyTextDblFlushKD">
    <w:name w:val="_Body Text Dbl Flush_KD"/>
    <w:basedOn w:val="Normal"/>
    <w:qFormat/>
    <w:pPr>
      <w:spacing w:after="480" w:line="480" w:lineRule="auto"/>
      <w:jc w:val="both"/>
    </w:pPr>
  </w:style>
  <w:style w:type="paragraph" w:customStyle="1" w:styleId="BodyTextDblIndentKD">
    <w:name w:val="_Body Text Dbl Indent_KD"/>
    <w:basedOn w:val="Normal"/>
    <w:qFormat/>
    <w:pPr>
      <w:spacing w:after="480" w:line="480" w:lineRule="auto"/>
      <w:ind w:firstLine="720"/>
      <w:jc w:val="both"/>
    </w:pPr>
  </w:style>
  <w:style w:type="paragraph" w:customStyle="1" w:styleId="BodyTextSglFlushKD">
    <w:name w:val="_Body Text Sgl Flush_KD"/>
    <w:basedOn w:val="Normal"/>
    <w:qFormat/>
    <w:pPr>
      <w:spacing w:after="240"/>
      <w:jc w:val="both"/>
    </w:pPr>
  </w:style>
  <w:style w:type="paragraph" w:customStyle="1" w:styleId="BodyTextSglIndentKD">
    <w:name w:val="_Body Text Sgl Indent_KD"/>
    <w:basedOn w:val="Normal"/>
    <w:qFormat/>
    <w:pPr>
      <w:spacing w:after="240"/>
      <w:ind w:firstLine="720"/>
      <w:jc w:val="both"/>
    </w:pPr>
  </w:style>
  <w:style w:type="paragraph" w:customStyle="1" w:styleId="TITLECenteredKD">
    <w:name w:val="_TITLE Centered_KD"/>
    <w:basedOn w:val="Normal"/>
    <w:next w:val="Normal"/>
    <w:qFormat/>
    <w:pPr>
      <w:spacing w:after="360"/>
      <w:jc w:val="center"/>
    </w:pPr>
    <w:rPr>
      <w:b/>
      <w:cap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Cs w:val="16"/>
    </w:rPr>
  </w:style>
  <w:style w:type="paragraph" w:styleId="FootnoteText">
    <w:name w:val="footnote text"/>
    <w:basedOn w:val="Normal"/>
    <w:link w:val="FootnoteTextChar"/>
    <w:pPr>
      <w:tabs>
        <w:tab w:val="left" w:pos="288"/>
      </w:tabs>
      <w:spacing w:after="120"/>
      <w:jc w:val="both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eastAsia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eastAsiaTheme="minorHAnsi" w:hAnsi="Times New Roman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317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Krieg DeVault LLP</dc:creator>
  <cp:lastModifiedBy>Smith, Beckie</cp:lastModifiedBy>
  <cp:revision>2</cp:revision>
  <cp:lastPrinted>2016-06-20T13:40:00Z</cp:lastPrinted>
  <dcterms:created xsi:type="dcterms:W3CDTF">2016-08-16T14:45:00Z</dcterms:created>
  <dcterms:modified xsi:type="dcterms:W3CDTF">2016-08-16T14:45:00Z</dcterms:modified>
</cp:coreProperties>
</file>