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BC0F" w14:textId="77777777" w:rsidR="006C48DB" w:rsidRDefault="006C48DB" w:rsidP="00844972">
      <w:pPr>
        <w:jc w:val="center"/>
        <w:rPr>
          <w:rFonts w:ascii="Arial Narrow" w:hAnsi="Arial Narrow"/>
          <w:b/>
          <w:i/>
          <w:iCs/>
          <w:sz w:val="28"/>
          <w:szCs w:val="28"/>
        </w:rPr>
      </w:pPr>
      <w:bookmarkStart w:id="0" w:name="_GoBack"/>
      <w:bookmarkEnd w:id="0"/>
      <w:r w:rsidRPr="006C48DB">
        <w:rPr>
          <w:rFonts w:ascii="Arial Narrow" w:hAnsi="Arial Narrow"/>
          <w:b/>
          <w:i/>
          <w:iCs/>
          <w:sz w:val="28"/>
          <w:szCs w:val="28"/>
        </w:rPr>
        <w:t>High Anxiety: A Prescription for Compliance Officer Burnout from the P</w:t>
      </w:r>
      <w:r>
        <w:rPr>
          <w:rFonts w:ascii="Arial Narrow" w:hAnsi="Arial Narrow"/>
          <w:b/>
          <w:i/>
          <w:iCs/>
          <w:sz w:val="28"/>
          <w:szCs w:val="28"/>
        </w:rPr>
        <w:t xml:space="preserve">sychoneurotic Institute for the </w:t>
      </w:r>
    </w:p>
    <w:p w14:paraId="05B86EF7" w14:textId="670D3987" w:rsidR="006C48DB" w:rsidRDefault="006C48DB" w:rsidP="00844972">
      <w:pPr>
        <w:jc w:val="center"/>
        <w:rPr>
          <w:rFonts w:ascii="Arial Narrow" w:hAnsi="Arial Narrow"/>
          <w:b/>
          <w:i/>
          <w:iCs/>
          <w:sz w:val="28"/>
          <w:szCs w:val="28"/>
        </w:rPr>
      </w:pPr>
      <w:r w:rsidRPr="006C48DB">
        <w:rPr>
          <w:rFonts w:ascii="Arial Narrow" w:hAnsi="Arial Narrow"/>
          <w:b/>
          <w:i/>
          <w:iCs/>
          <w:sz w:val="28"/>
          <w:szCs w:val="28"/>
        </w:rPr>
        <w:t>Very, Very Nervous</w:t>
      </w:r>
    </w:p>
    <w:p w14:paraId="4CF1E521" w14:textId="77777777" w:rsidR="006C48DB" w:rsidRPr="006C48DB" w:rsidRDefault="006C48DB" w:rsidP="00844972">
      <w:pPr>
        <w:jc w:val="center"/>
        <w:rPr>
          <w:rFonts w:ascii="Arial Narrow" w:hAnsi="Arial Narrow"/>
          <w:b/>
          <w:sz w:val="28"/>
          <w:szCs w:val="28"/>
        </w:rPr>
      </w:pPr>
    </w:p>
    <w:p w14:paraId="4AACEA12" w14:textId="3544A8CB" w:rsidR="00D261E7" w:rsidRPr="00A619A6" w:rsidRDefault="00603F21" w:rsidP="00844972">
      <w:pPr>
        <w:jc w:val="center"/>
        <w:rPr>
          <w:rFonts w:ascii="Arial Narrow" w:hAnsi="Arial Narrow"/>
          <w:b/>
          <w:sz w:val="28"/>
          <w:szCs w:val="28"/>
        </w:rPr>
      </w:pPr>
      <w:r w:rsidRPr="00A619A6">
        <w:rPr>
          <w:rFonts w:ascii="Arial Narrow" w:hAnsi="Arial Narrow"/>
          <w:b/>
          <w:sz w:val="28"/>
          <w:szCs w:val="28"/>
        </w:rPr>
        <w:t>A Discussion on Compliance Program Eff</w:t>
      </w:r>
      <w:r w:rsidR="00B70253" w:rsidRPr="00A619A6">
        <w:rPr>
          <w:rFonts w:ascii="Arial Narrow" w:hAnsi="Arial Narrow"/>
          <w:b/>
          <w:sz w:val="28"/>
          <w:szCs w:val="28"/>
        </w:rPr>
        <w:t>ectiveness and Efficiency</w:t>
      </w:r>
    </w:p>
    <w:p w14:paraId="669C95B8" w14:textId="77777777" w:rsidR="00603F21" w:rsidRPr="009F0955" w:rsidRDefault="00603F21" w:rsidP="00844972">
      <w:pPr>
        <w:jc w:val="center"/>
        <w:rPr>
          <w:rFonts w:ascii="Arial Narrow" w:hAnsi="Arial Narrow"/>
        </w:rPr>
      </w:pPr>
    </w:p>
    <w:p w14:paraId="2028A43D" w14:textId="77777777" w:rsidR="00603F21" w:rsidRPr="009F0955" w:rsidRDefault="00603F21" w:rsidP="00844972">
      <w:pPr>
        <w:jc w:val="center"/>
        <w:rPr>
          <w:rFonts w:ascii="Arial Narrow" w:hAnsi="Arial Narrow"/>
        </w:rPr>
      </w:pPr>
      <w:r w:rsidRPr="009F0955">
        <w:rPr>
          <w:rFonts w:ascii="Arial Narrow" w:hAnsi="Arial Narrow"/>
        </w:rPr>
        <w:t>By:</w:t>
      </w:r>
    </w:p>
    <w:p w14:paraId="52317D51" w14:textId="77777777" w:rsidR="009241F3" w:rsidRPr="009F0955" w:rsidRDefault="009241F3" w:rsidP="00844972">
      <w:pPr>
        <w:jc w:val="center"/>
        <w:rPr>
          <w:rFonts w:ascii="Arial Narrow" w:hAnsi="Arial Narrow"/>
        </w:rPr>
      </w:pPr>
    </w:p>
    <w:p w14:paraId="4FA17F5D" w14:textId="77777777" w:rsidR="00603F21" w:rsidRDefault="00603F21" w:rsidP="00844972">
      <w:pPr>
        <w:jc w:val="center"/>
        <w:rPr>
          <w:rFonts w:ascii="Arial Narrow" w:hAnsi="Arial Narrow"/>
        </w:rPr>
      </w:pPr>
      <w:r w:rsidRPr="009F0955">
        <w:rPr>
          <w:rFonts w:ascii="Arial Narrow" w:hAnsi="Arial Narrow"/>
        </w:rPr>
        <w:t>Jeffrey B. Miller, Esq.</w:t>
      </w:r>
      <w:r w:rsidR="009241F3" w:rsidRPr="009F0955">
        <w:rPr>
          <w:rStyle w:val="FootnoteReference"/>
          <w:rFonts w:ascii="Arial Narrow" w:hAnsi="Arial Narrow"/>
        </w:rPr>
        <w:footnoteReference w:id="1"/>
      </w:r>
    </w:p>
    <w:p w14:paraId="7B2BAE10" w14:textId="77777777" w:rsidR="00A619A6" w:rsidRPr="009F0955" w:rsidRDefault="00A619A6" w:rsidP="00844972">
      <w:pPr>
        <w:jc w:val="center"/>
        <w:rPr>
          <w:rFonts w:ascii="Arial Narrow" w:hAnsi="Arial Narrow"/>
        </w:rPr>
      </w:pPr>
    </w:p>
    <w:p w14:paraId="72EE9DA2" w14:textId="77777777" w:rsidR="00603F21" w:rsidRPr="009F0955" w:rsidRDefault="00603F21" w:rsidP="00844972">
      <w:pPr>
        <w:rPr>
          <w:rFonts w:ascii="Arial Narrow" w:hAnsi="Arial Narrow"/>
        </w:rPr>
      </w:pPr>
    </w:p>
    <w:p w14:paraId="618C2140" w14:textId="1D2AFD1F" w:rsidR="00844972" w:rsidRDefault="00603F21" w:rsidP="00A619A6">
      <w:pPr>
        <w:spacing w:line="480" w:lineRule="auto"/>
        <w:ind w:firstLine="720"/>
        <w:rPr>
          <w:rFonts w:ascii="Arial Narrow" w:hAnsi="Arial Narrow"/>
        </w:rPr>
      </w:pPr>
      <w:r w:rsidRPr="009F0955">
        <w:rPr>
          <w:rFonts w:ascii="Arial Narrow" w:hAnsi="Arial Narrow"/>
        </w:rPr>
        <w:t>The question of how to design and operate compliance program</w:t>
      </w:r>
      <w:r w:rsidR="00A15441">
        <w:rPr>
          <w:rFonts w:ascii="Arial Narrow" w:hAnsi="Arial Narrow"/>
        </w:rPr>
        <w:t>s</w:t>
      </w:r>
      <w:r w:rsidRPr="009F0955">
        <w:rPr>
          <w:rFonts w:ascii="Arial Narrow" w:hAnsi="Arial Narrow"/>
        </w:rPr>
        <w:t xml:space="preserve"> that </w:t>
      </w:r>
      <w:r w:rsidR="00A15441">
        <w:rPr>
          <w:rFonts w:ascii="Arial Narrow" w:hAnsi="Arial Narrow"/>
        </w:rPr>
        <w:t>are</w:t>
      </w:r>
      <w:r w:rsidRPr="009F0955">
        <w:rPr>
          <w:rFonts w:ascii="Arial Narrow" w:hAnsi="Arial Narrow"/>
        </w:rPr>
        <w:t xml:space="preserve"> both effective and</w:t>
      </w:r>
      <w:r w:rsidR="00080685" w:rsidRPr="009F0955">
        <w:rPr>
          <w:rFonts w:ascii="Arial Narrow" w:hAnsi="Arial Narrow"/>
        </w:rPr>
        <w:t xml:space="preserve"> efficient is one that has long been debated</w:t>
      </w:r>
      <w:r w:rsidR="00CC64E5" w:rsidRPr="009F0955">
        <w:rPr>
          <w:rFonts w:ascii="Arial Narrow" w:hAnsi="Arial Narrow"/>
        </w:rPr>
        <w:t xml:space="preserve"> in </w:t>
      </w:r>
      <w:r w:rsidRPr="009F0955">
        <w:rPr>
          <w:rFonts w:ascii="Arial Narrow" w:hAnsi="Arial Narrow"/>
        </w:rPr>
        <w:t>the legal and compliance pr</w:t>
      </w:r>
      <w:r w:rsidR="00080685" w:rsidRPr="009F0955">
        <w:rPr>
          <w:rFonts w:ascii="Arial Narrow" w:hAnsi="Arial Narrow"/>
        </w:rPr>
        <w:t xml:space="preserve">ofessions. </w:t>
      </w:r>
      <w:r w:rsidR="00CC64E5" w:rsidRPr="009F0955">
        <w:rPr>
          <w:rFonts w:ascii="Arial Narrow" w:hAnsi="Arial Narrow"/>
        </w:rPr>
        <w:t xml:space="preserve">Measuring and improving compliance program effectiveness has </w:t>
      </w:r>
      <w:r w:rsidR="00A15441">
        <w:rPr>
          <w:rFonts w:ascii="Arial Narrow" w:hAnsi="Arial Narrow"/>
        </w:rPr>
        <w:t xml:space="preserve">even </w:t>
      </w:r>
      <w:r w:rsidR="00CC64E5" w:rsidRPr="009F0955">
        <w:rPr>
          <w:rFonts w:ascii="Arial Narrow" w:hAnsi="Arial Narrow"/>
        </w:rPr>
        <w:t xml:space="preserve">become a consulting specialty. In some cases, such as </w:t>
      </w:r>
      <w:r w:rsidR="00EA7C5B" w:rsidRPr="009F0955">
        <w:rPr>
          <w:rFonts w:ascii="Arial Narrow" w:hAnsi="Arial Narrow"/>
        </w:rPr>
        <w:t>where</w:t>
      </w:r>
      <w:r w:rsidR="00CC64E5" w:rsidRPr="009F0955">
        <w:rPr>
          <w:rFonts w:ascii="Arial Narrow" w:hAnsi="Arial Narrow"/>
        </w:rPr>
        <w:t xml:space="preserve"> corporate integrity agreements requir</w:t>
      </w:r>
      <w:r w:rsidR="00F91F27">
        <w:rPr>
          <w:rFonts w:ascii="Arial Narrow" w:hAnsi="Arial Narrow"/>
        </w:rPr>
        <w:t>e</w:t>
      </w:r>
      <w:r w:rsidR="00CC64E5" w:rsidRPr="009F0955">
        <w:rPr>
          <w:rFonts w:ascii="Arial Narrow" w:hAnsi="Arial Narrow"/>
        </w:rPr>
        <w:t xml:space="preserve"> the engagement of independent experts to advise company boards, </w:t>
      </w:r>
      <w:r w:rsidR="00F91F27">
        <w:rPr>
          <w:rFonts w:ascii="Arial Narrow" w:hAnsi="Arial Narrow"/>
        </w:rPr>
        <w:t xml:space="preserve">the </w:t>
      </w:r>
      <w:r w:rsidR="00CC64E5" w:rsidRPr="009F0955">
        <w:rPr>
          <w:rFonts w:ascii="Arial Narrow" w:hAnsi="Arial Narrow"/>
        </w:rPr>
        <w:t>U.S. Government</w:t>
      </w:r>
      <w:r w:rsidR="00F91F27">
        <w:rPr>
          <w:rFonts w:ascii="Arial Narrow" w:hAnsi="Arial Narrow"/>
        </w:rPr>
        <w:t xml:space="preserve"> requires it</w:t>
      </w:r>
      <w:r w:rsidR="00CC64E5" w:rsidRPr="009F0955">
        <w:rPr>
          <w:rFonts w:ascii="Arial Narrow" w:hAnsi="Arial Narrow"/>
        </w:rPr>
        <w:t xml:space="preserve">. </w:t>
      </w:r>
      <w:r w:rsidR="00670957" w:rsidRPr="009F0955">
        <w:rPr>
          <w:rFonts w:ascii="Arial Narrow" w:hAnsi="Arial Narrow"/>
        </w:rPr>
        <w:t xml:space="preserve">Despite </w:t>
      </w:r>
      <w:r w:rsidR="000C395B">
        <w:rPr>
          <w:rFonts w:ascii="Arial Narrow" w:hAnsi="Arial Narrow"/>
        </w:rPr>
        <w:t xml:space="preserve">many years </w:t>
      </w:r>
      <w:r w:rsidR="008B1AE1">
        <w:rPr>
          <w:rFonts w:ascii="Arial Narrow" w:hAnsi="Arial Narrow"/>
        </w:rPr>
        <w:t xml:space="preserve">of </w:t>
      </w:r>
      <w:r w:rsidR="00670957" w:rsidRPr="009F0955">
        <w:rPr>
          <w:rFonts w:ascii="Arial Narrow" w:hAnsi="Arial Narrow"/>
        </w:rPr>
        <w:t xml:space="preserve">efforts to measure and improve effectiveness, </w:t>
      </w:r>
      <w:r w:rsidRPr="009F0955">
        <w:rPr>
          <w:rFonts w:ascii="Arial Narrow" w:hAnsi="Arial Narrow"/>
        </w:rPr>
        <w:t>some very sophisticated programs</w:t>
      </w:r>
      <w:r w:rsidR="00CC64E5" w:rsidRPr="009F0955">
        <w:rPr>
          <w:rFonts w:ascii="Arial Narrow" w:hAnsi="Arial Narrow"/>
        </w:rPr>
        <w:t xml:space="preserve"> with </w:t>
      </w:r>
      <w:r w:rsidRPr="009F0955">
        <w:rPr>
          <w:rFonts w:ascii="Arial Narrow" w:hAnsi="Arial Narrow"/>
        </w:rPr>
        <w:t xml:space="preserve">large </w:t>
      </w:r>
      <w:r w:rsidR="00CC64E5" w:rsidRPr="009F0955">
        <w:rPr>
          <w:rFonts w:ascii="Arial Narrow" w:hAnsi="Arial Narrow"/>
        </w:rPr>
        <w:t>b</w:t>
      </w:r>
      <w:r w:rsidRPr="009F0955">
        <w:rPr>
          <w:rFonts w:ascii="Arial Narrow" w:hAnsi="Arial Narrow"/>
        </w:rPr>
        <w:t xml:space="preserve">udgets and burgeoning numbers of </w:t>
      </w:r>
      <w:r w:rsidR="00CC64E5" w:rsidRPr="009F0955">
        <w:rPr>
          <w:rFonts w:ascii="Arial Narrow" w:hAnsi="Arial Narrow"/>
        </w:rPr>
        <w:t xml:space="preserve">compliance </w:t>
      </w:r>
      <w:r w:rsidRPr="009F0955">
        <w:rPr>
          <w:rFonts w:ascii="Arial Narrow" w:hAnsi="Arial Narrow"/>
        </w:rPr>
        <w:t>staff</w:t>
      </w:r>
      <w:r w:rsidR="00CC64E5" w:rsidRPr="009F0955">
        <w:rPr>
          <w:rFonts w:ascii="Arial Narrow" w:hAnsi="Arial Narrow"/>
        </w:rPr>
        <w:t xml:space="preserve"> </w:t>
      </w:r>
      <w:r w:rsidRPr="009F0955">
        <w:rPr>
          <w:rFonts w:ascii="Arial Narrow" w:hAnsi="Arial Narrow"/>
        </w:rPr>
        <w:t xml:space="preserve">fail to detect and prevent major compliance violations in their companies. </w:t>
      </w:r>
      <w:r w:rsidR="00CC64E5" w:rsidRPr="009F0955">
        <w:rPr>
          <w:rFonts w:ascii="Arial Narrow" w:hAnsi="Arial Narrow"/>
        </w:rPr>
        <w:t xml:space="preserve">A quick review of </w:t>
      </w:r>
      <w:r w:rsidR="00670957" w:rsidRPr="009F0955">
        <w:rPr>
          <w:rFonts w:ascii="Arial Narrow" w:hAnsi="Arial Narrow"/>
        </w:rPr>
        <w:t>th</w:t>
      </w:r>
      <w:r w:rsidR="000C395B">
        <w:rPr>
          <w:rFonts w:ascii="Arial Narrow" w:hAnsi="Arial Narrow"/>
        </w:rPr>
        <w:t>e</w:t>
      </w:r>
      <w:r w:rsidR="00670957" w:rsidRPr="009F0955">
        <w:rPr>
          <w:rFonts w:ascii="Arial Narrow" w:hAnsi="Arial Narrow"/>
        </w:rPr>
        <w:t xml:space="preserve"> history o</w:t>
      </w:r>
      <w:r w:rsidR="000C395B">
        <w:rPr>
          <w:rFonts w:ascii="Arial Narrow" w:hAnsi="Arial Narrow"/>
        </w:rPr>
        <w:t>f</w:t>
      </w:r>
      <w:r w:rsidR="00670957" w:rsidRPr="009F0955">
        <w:rPr>
          <w:rFonts w:ascii="Arial Narrow" w:hAnsi="Arial Narrow"/>
        </w:rPr>
        <w:t xml:space="preserve"> corporate integrity agreements with HHS OIG demonstrates companies</w:t>
      </w:r>
      <w:r w:rsidR="000C395B">
        <w:rPr>
          <w:rFonts w:ascii="Arial Narrow" w:hAnsi="Arial Narrow"/>
        </w:rPr>
        <w:t xml:space="preserve"> </w:t>
      </w:r>
      <w:r w:rsidR="00670957" w:rsidRPr="009F0955">
        <w:rPr>
          <w:rFonts w:ascii="Arial Narrow" w:hAnsi="Arial Narrow"/>
        </w:rPr>
        <w:t xml:space="preserve">with repeated, significant violations. </w:t>
      </w:r>
      <w:r w:rsidR="00F91F27">
        <w:rPr>
          <w:rFonts w:ascii="Arial Narrow" w:hAnsi="Arial Narrow"/>
        </w:rPr>
        <w:t xml:space="preserve">More, </w:t>
      </w:r>
      <w:r w:rsidR="000C395B">
        <w:rPr>
          <w:rFonts w:ascii="Arial Narrow" w:hAnsi="Arial Narrow"/>
        </w:rPr>
        <w:t>some of these companies appear</w:t>
      </w:r>
      <w:r w:rsidR="00F91F27">
        <w:rPr>
          <w:rFonts w:ascii="Arial Narrow" w:hAnsi="Arial Narrow"/>
        </w:rPr>
        <w:t xml:space="preserve"> to struggle in executing efficiently upon business imperatives and priorities while remaining within </w:t>
      </w:r>
      <w:r w:rsidR="000C395B">
        <w:rPr>
          <w:rFonts w:ascii="Arial Narrow" w:hAnsi="Arial Narrow"/>
        </w:rPr>
        <w:t>their</w:t>
      </w:r>
      <w:r w:rsidR="00F91F27">
        <w:rPr>
          <w:rFonts w:ascii="Arial Narrow" w:hAnsi="Arial Narrow"/>
        </w:rPr>
        <w:t xml:space="preserve"> </w:t>
      </w:r>
      <w:r w:rsidR="000C395B">
        <w:rPr>
          <w:rFonts w:ascii="Arial Narrow" w:hAnsi="Arial Narrow"/>
        </w:rPr>
        <w:t>established</w:t>
      </w:r>
      <w:r w:rsidR="00F91F27">
        <w:rPr>
          <w:rFonts w:ascii="Arial Narrow" w:hAnsi="Arial Narrow"/>
        </w:rPr>
        <w:t xml:space="preserve"> compliance processes - processes often supported by significant legal and compliance staffing resources. A</w:t>
      </w:r>
      <w:r w:rsidR="00A15441">
        <w:rPr>
          <w:rFonts w:ascii="Arial Narrow" w:hAnsi="Arial Narrow"/>
        </w:rPr>
        <w:t xml:space="preserve">s a result, questions remain about </w:t>
      </w:r>
      <w:r w:rsidR="00F91F27">
        <w:rPr>
          <w:rFonts w:ascii="Arial Narrow" w:hAnsi="Arial Narrow"/>
        </w:rPr>
        <w:t xml:space="preserve">how to </w:t>
      </w:r>
      <w:r w:rsidR="00A15441">
        <w:rPr>
          <w:rFonts w:ascii="Arial Narrow" w:hAnsi="Arial Narrow"/>
        </w:rPr>
        <w:t>the design and operat</w:t>
      </w:r>
      <w:r w:rsidR="00F91F27">
        <w:rPr>
          <w:rFonts w:ascii="Arial Narrow" w:hAnsi="Arial Narrow"/>
        </w:rPr>
        <w:t>e</w:t>
      </w:r>
      <w:r w:rsidR="00A15441">
        <w:rPr>
          <w:rFonts w:ascii="Arial Narrow" w:hAnsi="Arial Narrow"/>
        </w:rPr>
        <w:t xml:space="preserve"> </w:t>
      </w:r>
      <w:r w:rsidR="006C48DB">
        <w:rPr>
          <w:rFonts w:ascii="Arial Narrow" w:hAnsi="Arial Narrow"/>
        </w:rPr>
        <w:t>compliance programs - even well-</w:t>
      </w:r>
      <w:r w:rsidR="00A15441">
        <w:rPr>
          <w:rFonts w:ascii="Arial Narrow" w:hAnsi="Arial Narrow"/>
        </w:rPr>
        <w:t xml:space="preserve">resourced programs </w:t>
      </w:r>
      <w:r w:rsidR="000C395B">
        <w:rPr>
          <w:rFonts w:ascii="Arial Narrow" w:hAnsi="Arial Narrow"/>
        </w:rPr>
        <w:t>–</w:t>
      </w:r>
      <w:r w:rsidR="00A15441">
        <w:rPr>
          <w:rFonts w:ascii="Arial Narrow" w:hAnsi="Arial Narrow"/>
        </w:rPr>
        <w:t xml:space="preserve"> </w:t>
      </w:r>
      <w:r w:rsidR="000C395B">
        <w:rPr>
          <w:rFonts w:ascii="Arial Narrow" w:hAnsi="Arial Narrow"/>
        </w:rPr>
        <w:t xml:space="preserve">that are both </w:t>
      </w:r>
      <w:r w:rsidR="00A15441">
        <w:rPr>
          <w:rFonts w:ascii="Arial Narrow" w:hAnsi="Arial Narrow"/>
        </w:rPr>
        <w:t xml:space="preserve">effective and efficient. </w:t>
      </w:r>
    </w:p>
    <w:p w14:paraId="3FD44759" w14:textId="496639BF" w:rsidR="00622760" w:rsidRPr="009F0955" w:rsidRDefault="00670957" w:rsidP="00A619A6">
      <w:pPr>
        <w:spacing w:line="480" w:lineRule="auto"/>
        <w:ind w:firstLine="720"/>
        <w:rPr>
          <w:rFonts w:ascii="Arial Narrow" w:hAnsi="Arial Narrow"/>
        </w:rPr>
      </w:pPr>
      <w:r w:rsidRPr="009F0955">
        <w:rPr>
          <w:rFonts w:ascii="Arial Narrow" w:hAnsi="Arial Narrow"/>
        </w:rPr>
        <w:lastRenderedPageBreak/>
        <w:t xml:space="preserve">Over recent years government authorities have </w:t>
      </w:r>
      <w:r w:rsidR="00597304">
        <w:rPr>
          <w:rFonts w:ascii="Arial Narrow" w:hAnsi="Arial Narrow"/>
        </w:rPr>
        <w:t xml:space="preserve">attempted </w:t>
      </w:r>
      <w:r w:rsidRPr="009F0955">
        <w:rPr>
          <w:rFonts w:ascii="Arial Narrow" w:hAnsi="Arial Narrow"/>
        </w:rPr>
        <w:t xml:space="preserve">to </w:t>
      </w:r>
      <w:r w:rsidR="0015771A">
        <w:rPr>
          <w:rFonts w:ascii="Arial Narrow" w:hAnsi="Arial Narrow"/>
        </w:rPr>
        <w:t>increase the effectiveness of compliance programs</w:t>
      </w:r>
      <w:r w:rsidR="00A15441">
        <w:rPr>
          <w:rFonts w:ascii="Arial Narrow" w:hAnsi="Arial Narrow"/>
        </w:rPr>
        <w:t>, not simply by requiring better-resourced functions, but</w:t>
      </w:r>
      <w:r w:rsidR="0015771A">
        <w:rPr>
          <w:rFonts w:ascii="Arial Narrow" w:hAnsi="Arial Narrow"/>
        </w:rPr>
        <w:t xml:space="preserve"> by h</w:t>
      </w:r>
      <w:r w:rsidRPr="009F0955">
        <w:rPr>
          <w:rFonts w:ascii="Arial Narrow" w:hAnsi="Arial Narrow"/>
        </w:rPr>
        <w:t xml:space="preserve">olding company ownership </w:t>
      </w:r>
      <w:r w:rsidR="00622760" w:rsidRPr="009F0955">
        <w:rPr>
          <w:rFonts w:ascii="Arial Narrow" w:hAnsi="Arial Narrow"/>
        </w:rPr>
        <w:t xml:space="preserve">and senior executive management </w:t>
      </w:r>
      <w:r w:rsidRPr="009F0955">
        <w:rPr>
          <w:rFonts w:ascii="Arial Narrow" w:hAnsi="Arial Narrow"/>
        </w:rPr>
        <w:t>more accountable</w:t>
      </w:r>
      <w:r w:rsidR="00622760" w:rsidRPr="009F0955">
        <w:rPr>
          <w:rFonts w:ascii="Arial Narrow" w:hAnsi="Arial Narrow"/>
        </w:rPr>
        <w:t xml:space="preserve"> for </w:t>
      </w:r>
      <w:r w:rsidR="00A15441">
        <w:rPr>
          <w:rFonts w:ascii="Arial Narrow" w:hAnsi="Arial Narrow"/>
        </w:rPr>
        <w:t xml:space="preserve">overseeing </w:t>
      </w:r>
      <w:r w:rsidR="00622760" w:rsidRPr="009F0955">
        <w:rPr>
          <w:rFonts w:ascii="Arial Narrow" w:hAnsi="Arial Narrow"/>
        </w:rPr>
        <w:t xml:space="preserve">compliance </w:t>
      </w:r>
      <w:r w:rsidR="00597304">
        <w:rPr>
          <w:rFonts w:ascii="Arial Narrow" w:hAnsi="Arial Narrow"/>
        </w:rPr>
        <w:t>in their areas of responsibility</w:t>
      </w:r>
      <w:r w:rsidR="00622760" w:rsidRPr="009F0955">
        <w:rPr>
          <w:rFonts w:ascii="Arial Narrow" w:hAnsi="Arial Narrow"/>
        </w:rPr>
        <w:t>.</w:t>
      </w:r>
      <w:r w:rsidR="006F2163">
        <w:rPr>
          <w:rStyle w:val="FootnoteReference"/>
          <w:rFonts w:ascii="Arial Narrow" w:hAnsi="Arial Narrow"/>
        </w:rPr>
        <w:footnoteReference w:id="2"/>
      </w:r>
      <w:r w:rsidR="00622760" w:rsidRPr="009F0955">
        <w:rPr>
          <w:rFonts w:ascii="Arial Narrow" w:hAnsi="Arial Narrow"/>
        </w:rPr>
        <w:t xml:space="preserve"> For </w:t>
      </w:r>
      <w:r w:rsidR="00597304">
        <w:rPr>
          <w:rFonts w:ascii="Arial Narrow" w:hAnsi="Arial Narrow"/>
        </w:rPr>
        <w:t xml:space="preserve">company </w:t>
      </w:r>
      <w:r w:rsidR="00622760" w:rsidRPr="009F0955">
        <w:rPr>
          <w:rFonts w:ascii="Arial Narrow" w:hAnsi="Arial Narrow"/>
        </w:rPr>
        <w:t>owners</w:t>
      </w:r>
      <w:r w:rsidR="00597304">
        <w:rPr>
          <w:rFonts w:ascii="Arial Narrow" w:hAnsi="Arial Narrow"/>
        </w:rPr>
        <w:t xml:space="preserve"> and their representatives</w:t>
      </w:r>
      <w:r w:rsidR="00622760" w:rsidRPr="009F0955">
        <w:rPr>
          <w:rFonts w:ascii="Arial Narrow" w:hAnsi="Arial Narrow"/>
        </w:rPr>
        <w:t xml:space="preserve">, authorities have </w:t>
      </w:r>
      <w:r w:rsidRPr="009F0955">
        <w:rPr>
          <w:rFonts w:ascii="Arial Narrow" w:hAnsi="Arial Narrow"/>
        </w:rPr>
        <w:t>requi</w:t>
      </w:r>
      <w:r w:rsidR="00622760" w:rsidRPr="009F0955">
        <w:rPr>
          <w:rFonts w:ascii="Arial Narrow" w:hAnsi="Arial Narrow"/>
        </w:rPr>
        <w:t>red</w:t>
      </w:r>
      <w:r w:rsidRPr="009F0955">
        <w:rPr>
          <w:rFonts w:ascii="Arial Narrow" w:hAnsi="Arial Narrow"/>
        </w:rPr>
        <w:t xml:space="preserve"> greater degrees of competence in sensitive compliance areas</w:t>
      </w:r>
      <w:r w:rsidR="0001060D">
        <w:rPr>
          <w:rFonts w:ascii="Arial Narrow" w:hAnsi="Arial Narrow"/>
        </w:rPr>
        <w:t xml:space="preserve">. </w:t>
      </w:r>
      <w:r w:rsidR="00597304">
        <w:rPr>
          <w:rFonts w:ascii="Arial Narrow" w:hAnsi="Arial Narrow"/>
        </w:rPr>
        <w:t>Boards</w:t>
      </w:r>
      <w:r w:rsidR="009369E4">
        <w:rPr>
          <w:rFonts w:ascii="Arial Narrow" w:hAnsi="Arial Narrow"/>
        </w:rPr>
        <w:t xml:space="preserve"> </w:t>
      </w:r>
      <w:r w:rsidR="00597304">
        <w:rPr>
          <w:rFonts w:ascii="Arial Narrow" w:hAnsi="Arial Narrow"/>
        </w:rPr>
        <w:t xml:space="preserve">of Directors </w:t>
      </w:r>
      <w:r w:rsidR="009369E4">
        <w:rPr>
          <w:rFonts w:ascii="Arial Narrow" w:hAnsi="Arial Narrow"/>
        </w:rPr>
        <w:t xml:space="preserve">are required to </w:t>
      </w:r>
      <w:r w:rsidR="009369E4" w:rsidRPr="009F0955">
        <w:rPr>
          <w:rFonts w:ascii="Arial Narrow" w:hAnsi="Arial Narrow"/>
        </w:rPr>
        <w:t>perform reasonable inquiries into the effectiveness of their compan</w:t>
      </w:r>
      <w:r w:rsidR="00597304">
        <w:rPr>
          <w:rFonts w:ascii="Arial Narrow" w:hAnsi="Arial Narrow"/>
        </w:rPr>
        <w:t>ies’</w:t>
      </w:r>
      <w:r w:rsidR="009369E4" w:rsidRPr="009F0955">
        <w:rPr>
          <w:rFonts w:ascii="Arial Narrow" w:hAnsi="Arial Narrow"/>
        </w:rPr>
        <w:t xml:space="preserve"> compliance functions</w:t>
      </w:r>
      <w:r w:rsidR="009369E4">
        <w:rPr>
          <w:rFonts w:ascii="Arial Narrow" w:hAnsi="Arial Narrow"/>
        </w:rPr>
        <w:t xml:space="preserve"> on a routine basis</w:t>
      </w:r>
      <w:r w:rsidR="009369E4" w:rsidRPr="009F0955">
        <w:rPr>
          <w:rFonts w:ascii="Arial Narrow" w:hAnsi="Arial Narrow"/>
        </w:rPr>
        <w:t>, tak</w:t>
      </w:r>
      <w:r w:rsidR="00597304">
        <w:rPr>
          <w:rFonts w:ascii="Arial Narrow" w:hAnsi="Arial Narrow"/>
        </w:rPr>
        <w:t>ing</w:t>
      </w:r>
      <w:r w:rsidR="009369E4" w:rsidRPr="009F0955">
        <w:rPr>
          <w:rFonts w:ascii="Arial Narrow" w:hAnsi="Arial Narrow"/>
        </w:rPr>
        <w:t xml:space="preserve"> appropriate action </w:t>
      </w:r>
      <w:r w:rsidR="00597304">
        <w:rPr>
          <w:rFonts w:ascii="Arial Narrow" w:hAnsi="Arial Narrow"/>
        </w:rPr>
        <w:t>where</w:t>
      </w:r>
      <w:r w:rsidR="009369E4" w:rsidRPr="009F0955">
        <w:rPr>
          <w:rFonts w:ascii="Arial Narrow" w:hAnsi="Arial Narrow"/>
        </w:rPr>
        <w:t xml:space="preserve"> their programs do not appear to be effective.</w:t>
      </w:r>
      <w:r w:rsidR="009369E4">
        <w:rPr>
          <w:rFonts w:ascii="Arial Narrow" w:hAnsi="Arial Narrow"/>
        </w:rPr>
        <w:t xml:space="preserve"> These inquires and the decisions that follow are required to be made with </w:t>
      </w:r>
      <w:r w:rsidR="00622760" w:rsidRPr="009F0955">
        <w:rPr>
          <w:rFonts w:ascii="Arial Narrow" w:hAnsi="Arial Narrow"/>
        </w:rPr>
        <w:t xml:space="preserve">greater independence from their business management teams, </w:t>
      </w:r>
      <w:r w:rsidR="009369E4">
        <w:rPr>
          <w:rFonts w:ascii="Arial Narrow" w:hAnsi="Arial Narrow"/>
        </w:rPr>
        <w:t>either through independent directors</w:t>
      </w:r>
      <w:r w:rsidR="00597304">
        <w:rPr>
          <w:rFonts w:ascii="Arial Narrow" w:hAnsi="Arial Narrow"/>
        </w:rPr>
        <w:t xml:space="preserve"> directing and analyzing the reviews</w:t>
      </w:r>
      <w:r w:rsidR="009369E4">
        <w:rPr>
          <w:rFonts w:ascii="Arial Narrow" w:hAnsi="Arial Narrow"/>
        </w:rPr>
        <w:t xml:space="preserve">, or through the use of independent compliance experts </w:t>
      </w:r>
      <w:r w:rsidR="00597304">
        <w:rPr>
          <w:rFonts w:ascii="Arial Narrow" w:hAnsi="Arial Narrow"/>
        </w:rPr>
        <w:t xml:space="preserve">engaged, </w:t>
      </w:r>
      <w:r w:rsidR="009369E4">
        <w:rPr>
          <w:rFonts w:ascii="Arial Narrow" w:hAnsi="Arial Narrow"/>
        </w:rPr>
        <w:t xml:space="preserve">directed </w:t>
      </w:r>
      <w:r w:rsidR="00597304">
        <w:rPr>
          <w:rFonts w:ascii="Arial Narrow" w:hAnsi="Arial Narrow"/>
        </w:rPr>
        <w:t xml:space="preserve">and reporting to the </w:t>
      </w:r>
      <w:r w:rsidR="009369E4">
        <w:rPr>
          <w:rFonts w:ascii="Arial Narrow" w:hAnsi="Arial Narrow"/>
        </w:rPr>
        <w:t>board</w:t>
      </w:r>
      <w:r w:rsidR="00597304">
        <w:rPr>
          <w:rFonts w:ascii="Arial Narrow" w:hAnsi="Arial Narrow"/>
        </w:rPr>
        <w:t xml:space="preserve"> for this purpose</w:t>
      </w:r>
      <w:r w:rsidR="009369E4">
        <w:rPr>
          <w:rFonts w:ascii="Arial Narrow" w:hAnsi="Arial Narrow"/>
        </w:rPr>
        <w:t xml:space="preserve">. </w:t>
      </w:r>
      <w:r w:rsidR="000B7988" w:rsidRPr="009F0955">
        <w:rPr>
          <w:rFonts w:ascii="Arial Narrow" w:hAnsi="Arial Narrow"/>
        </w:rPr>
        <w:t>In these circumstances, w</w:t>
      </w:r>
      <w:r w:rsidR="00622760" w:rsidRPr="009F0955">
        <w:rPr>
          <w:rFonts w:ascii="Arial Narrow" w:hAnsi="Arial Narrow"/>
        </w:rPr>
        <w:t xml:space="preserve">here compliance </w:t>
      </w:r>
      <w:r w:rsidR="009369E4">
        <w:rPr>
          <w:rFonts w:ascii="Arial Narrow" w:hAnsi="Arial Narrow"/>
        </w:rPr>
        <w:t xml:space="preserve">programs are deemed to be ineffective, </w:t>
      </w:r>
      <w:r w:rsidR="00622760" w:rsidRPr="009F0955">
        <w:rPr>
          <w:rFonts w:ascii="Arial Narrow" w:hAnsi="Arial Narrow"/>
        </w:rPr>
        <w:t xml:space="preserve">answers of “I didn’t </w:t>
      </w:r>
      <w:r w:rsidR="000B7988" w:rsidRPr="009F0955">
        <w:rPr>
          <w:rFonts w:ascii="Arial Narrow" w:hAnsi="Arial Narrow"/>
        </w:rPr>
        <w:t>understand”</w:t>
      </w:r>
      <w:r w:rsidR="00622760" w:rsidRPr="009F0955">
        <w:rPr>
          <w:rFonts w:ascii="Arial Narrow" w:hAnsi="Arial Narrow"/>
        </w:rPr>
        <w:t xml:space="preserve"> or “I didn’t </w:t>
      </w:r>
      <w:r w:rsidR="000B7988" w:rsidRPr="009F0955">
        <w:rPr>
          <w:rFonts w:ascii="Arial Narrow" w:hAnsi="Arial Narrow"/>
        </w:rPr>
        <w:t>know</w:t>
      </w:r>
      <w:r w:rsidR="00622760" w:rsidRPr="009F0955">
        <w:rPr>
          <w:rFonts w:ascii="Arial Narrow" w:hAnsi="Arial Narrow"/>
        </w:rPr>
        <w:t>,” rarely the best responses for board member</w:t>
      </w:r>
      <w:r w:rsidR="00AB6FC8" w:rsidRPr="009F0955">
        <w:rPr>
          <w:rFonts w:ascii="Arial Narrow" w:hAnsi="Arial Narrow"/>
        </w:rPr>
        <w:t>s</w:t>
      </w:r>
      <w:r w:rsidR="00622760" w:rsidRPr="009F0955">
        <w:rPr>
          <w:rFonts w:ascii="Arial Narrow" w:hAnsi="Arial Narrow"/>
        </w:rPr>
        <w:t>, are no</w:t>
      </w:r>
      <w:r w:rsidR="0065389C" w:rsidRPr="009F0955">
        <w:rPr>
          <w:rFonts w:ascii="Arial Narrow" w:hAnsi="Arial Narrow"/>
        </w:rPr>
        <w:t>t</w:t>
      </w:r>
      <w:r w:rsidR="00622760" w:rsidRPr="009F0955">
        <w:rPr>
          <w:rFonts w:ascii="Arial Narrow" w:hAnsi="Arial Narrow"/>
        </w:rPr>
        <w:t xml:space="preserve"> </w:t>
      </w:r>
      <w:r w:rsidR="00027867">
        <w:rPr>
          <w:rFonts w:ascii="Arial Narrow" w:hAnsi="Arial Narrow"/>
        </w:rPr>
        <w:t xml:space="preserve">generally </w:t>
      </w:r>
      <w:r w:rsidR="00622760" w:rsidRPr="009F0955">
        <w:rPr>
          <w:rFonts w:ascii="Arial Narrow" w:hAnsi="Arial Narrow"/>
        </w:rPr>
        <w:t>accept</w:t>
      </w:r>
      <w:r w:rsidR="009369E4">
        <w:rPr>
          <w:rFonts w:ascii="Arial Narrow" w:hAnsi="Arial Narrow"/>
        </w:rPr>
        <w:t>able</w:t>
      </w:r>
      <w:r w:rsidR="00622760" w:rsidRPr="009F0955">
        <w:rPr>
          <w:rFonts w:ascii="Arial Narrow" w:hAnsi="Arial Narrow"/>
        </w:rPr>
        <w:t xml:space="preserve">. </w:t>
      </w:r>
    </w:p>
    <w:p w14:paraId="48D05534" w14:textId="77967BFF" w:rsidR="00CD4FCD" w:rsidRPr="009F0955" w:rsidRDefault="00622760" w:rsidP="00A619A6">
      <w:pPr>
        <w:spacing w:line="480" w:lineRule="auto"/>
        <w:ind w:firstLine="720"/>
        <w:rPr>
          <w:rFonts w:ascii="Arial Narrow" w:hAnsi="Arial Narrow"/>
        </w:rPr>
      </w:pPr>
      <w:r w:rsidRPr="009F0955">
        <w:rPr>
          <w:rFonts w:ascii="Arial Narrow" w:hAnsi="Arial Narrow"/>
        </w:rPr>
        <w:t xml:space="preserve">For senior executive management, authorities have </w:t>
      </w:r>
      <w:r w:rsidR="00AB6FC8" w:rsidRPr="009F0955">
        <w:rPr>
          <w:rFonts w:ascii="Arial Narrow" w:hAnsi="Arial Narrow"/>
        </w:rPr>
        <w:t xml:space="preserve">also </w:t>
      </w:r>
      <w:r w:rsidRPr="009F0955">
        <w:rPr>
          <w:rFonts w:ascii="Arial Narrow" w:hAnsi="Arial Narrow"/>
        </w:rPr>
        <w:t xml:space="preserve">required </w:t>
      </w:r>
      <w:r w:rsidR="00AB6FC8" w:rsidRPr="009F0955">
        <w:rPr>
          <w:rFonts w:ascii="Arial Narrow" w:hAnsi="Arial Narrow"/>
        </w:rPr>
        <w:t xml:space="preserve">increased </w:t>
      </w:r>
      <w:r w:rsidR="00911BF3">
        <w:rPr>
          <w:rFonts w:ascii="Arial Narrow" w:hAnsi="Arial Narrow"/>
        </w:rPr>
        <w:t xml:space="preserve">knowledge in </w:t>
      </w:r>
      <w:r w:rsidR="00AB6FC8" w:rsidRPr="009F0955">
        <w:rPr>
          <w:rFonts w:ascii="Arial Narrow" w:hAnsi="Arial Narrow"/>
        </w:rPr>
        <w:t xml:space="preserve">sensitive compliance areas, and in addition, </w:t>
      </w:r>
      <w:r w:rsidR="00911BF3">
        <w:rPr>
          <w:rFonts w:ascii="Arial Narrow" w:hAnsi="Arial Narrow"/>
        </w:rPr>
        <w:t>effectively leading compliance in their areas of responsibility. M</w:t>
      </w:r>
      <w:r w:rsidR="00AB6FC8" w:rsidRPr="009F0955">
        <w:rPr>
          <w:rFonts w:ascii="Arial Narrow" w:hAnsi="Arial Narrow"/>
        </w:rPr>
        <w:t xml:space="preserve">anagers are required </w:t>
      </w:r>
      <w:r w:rsidR="00F63785">
        <w:rPr>
          <w:rFonts w:ascii="Arial Narrow" w:hAnsi="Arial Narrow"/>
        </w:rPr>
        <w:t>receive</w:t>
      </w:r>
      <w:r w:rsidR="0065389C" w:rsidRPr="009F0955">
        <w:rPr>
          <w:rFonts w:ascii="Arial Narrow" w:hAnsi="Arial Narrow"/>
        </w:rPr>
        <w:t xml:space="preserve"> training on and understand the compliance requirements that apply to them </w:t>
      </w:r>
      <w:r w:rsidR="00911BF3">
        <w:rPr>
          <w:rFonts w:ascii="Arial Narrow" w:hAnsi="Arial Narrow"/>
        </w:rPr>
        <w:t xml:space="preserve">personally, </w:t>
      </w:r>
      <w:r w:rsidR="0065389C" w:rsidRPr="009F0955">
        <w:rPr>
          <w:rFonts w:ascii="Arial Narrow" w:hAnsi="Arial Narrow"/>
        </w:rPr>
        <w:t>and to the people within their areas of responsibility</w:t>
      </w:r>
      <w:r w:rsidR="00911BF3">
        <w:rPr>
          <w:rFonts w:ascii="Arial Narrow" w:hAnsi="Arial Narrow"/>
        </w:rPr>
        <w:t xml:space="preserve">. They are required to </w:t>
      </w:r>
      <w:r w:rsidR="0065389C" w:rsidRPr="009F0955">
        <w:rPr>
          <w:rFonts w:ascii="Arial Narrow" w:hAnsi="Arial Narrow"/>
        </w:rPr>
        <w:t xml:space="preserve">promote compliance </w:t>
      </w:r>
      <w:r w:rsidR="00911BF3">
        <w:rPr>
          <w:rFonts w:ascii="Arial Narrow" w:hAnsi="Arial Narrow"/>
        </w:rPr>
        <w:t>with</w:t>
      </w:r>
      <w:r w:rsidR="0065389C" w:rsidRPr="009F0955">
        <w:rPr>
          <w:rFonts w:ascii="Arial Narrow" w:hAnsi="Arial Narrow"/>
        </w:rPr>
        <w:t xml:space="preserve"> their people, and to take measures to ensure that their area</w:t>
      </w:r>
      <w:r w:rsidR="00911BF3">
        <w:rPr>
          <w:rFonts w:ascii="Arial Narrow" w:hAnsi="Arial Narrow"/>
        </w:rPr>
        <w:t>s</w:t>
      </w:r>
      <w:r w:rsidR="0065389C" w:rsidRPr="009F0955">
        <w:rPr>
          <w:rFonts w:ascii="Arial Narrow" w:hAnsi="Arial Narrow"/>
        </w:rPr>
        <w:t xml:space="preserve"> </w:t>
      </w:r>
      <w:r w:rsidR="00911BF3">
        <w:rPr>
          <w:rFonts w:ascii="Arial Narrow" w:hAnsi="Arial Narrow"/>
        </w:rPr>
        <w:t>are</w:t>
      </w:r>
      <w:r w:rsidR="0065389C" w:rsidRPr="009F0955">
        <w:rPr>
          <w:rFonts w:ascii="Arial Narrow" w:hAnsi="Arial Narrow"/>
        </w:rPr>
        <w:t xml:space="preserve"> and remain in compliance. </w:t>
      </w:r>
      <w:r w:rsidR="00911BF3">
        <w:rPr>
          <w:rFonts w:ascii="Arial Narrow" w:hAnsi="Arial Narrow"/>
        </w:rPr>
        <w:t xml:space="preserve">Similar to </w:t>
      </w:r>
      <w:r w:rsidR="0065389C" w:rsidRPr="009F0955">
        <w:rPr>
          <w:rFonts w:ascii="Arial Narrow" w:hAnsi="Arial Narrow"/>
        </w:rPr>
        <w:t xml:space="preserve">ownership, where compliance violations occur answers of “I didn’t understand” or “I didn’t know” are not </w:t>
      </w:r>
      <w:r w:rsidR="00911BF3">
        <w:rPr>
          <w:rFonts w:ascii="Arial Narrow" w:hAnsi="Arial Narrow"/>
        </w:rPr>
        <w:t xml:space="preserve">easily </w:t>
      </w:r>
      <w:r w:rsidR="0065389C" w:rsidRPr="009F0955">
        <w:rPr>
          <w:rFonts w:ascii="Arial Narrow" w:hAnsi="Arial Narrow"/>
        </w:rPr>
        <w:t xml:space="preserve">accepted. More, the once all-to-common </w:t>
      </w:r>
      <w:r w:rsidR="00CD4E78">
        <w:rPr>
          <w:rFonts w:ascii="Arial Narrow" w:hAnsi="Arial Narrow"/>
        </w:rPr>
        <w:t>thought</w:t>
      </w:r>
      <w:r w:rsidR="0065389C" w:rsidRPr="009F0955">
        <w:rPr>
          <w:rFonts w:ascii="Arial Narrow" w:hAnsi="Arial Narrow"/>
        </w:rPr>
        <w:t xml:space="preserve"> </w:t>
      </w:r>
      <w:r w:rsidR="00911BF3">
        <w:rPr>
          <w:rFonts w:ascii="Arial Narrow" w:hAnsi="Arial Narrow"/>
        </w:rPr>
        <w:t xml:space="preserve">that keeping their areas compliant </w:t>
      </w:r>
      <w:r w:rsidR="0065389C" w:rsidRPr="009F0955">
        <w:rPr>
          <w:rFonts w:ascii="Arial Narrow" w:hAnsi="Arial Narrow"/>
        </w:rPr>
        <w:t>“</w:t>
      </w:r>
      <w:r w:rsidR="00911BF3">
        <w:rPr>
          <w:rFonts w:ascii="Arial Narrow" w:hAnsi="Arial Narrow"/>
        </w:rPr>
        <w:t xml:space="preserve">is </w:t>
      </w:r>
      <w:r w:rsidR="002051DD" w:rsidRPr="009F0955">
        <w:rPr>
          <w:rFonts w:ascii="Arial Narrow" w:hAnsi="Arial Narrow"/>
        </w:rPr>
        <w:t xml:space="preserve">the Compliance Department’s job (or the Legal Department’s job)” </w:t>
      </w:r>
      <w:r w:rsidR="0065389C" w:rsidRPr="009F0955">
        <w:rPr>
          <w:rFonts w:ascii="Arial Narrow" w:hAnsi="Arial Narrow"/>
        </w:rPr>
        <w:t xml:space="preserve">is </w:t>
      </w:r>
      <w:r w:rsidR="00027867">
        <w:rPr>
          <w:rFonts w:ascii="Arial Narrow" w:hAnsi="Arial Narrow"/>
        </w:rPr>
        <w:t>also un</w:t>
      </w:r>
      <w:r w:rsidR="002051DD" w:rsidRPr="009F0955">
        <w:rPr>
          <w:rFonts w:ascii="Arial Narrow" w:hAnsi="Arial Narrow"/>
        </w:rPr>
        <w:t>acceptable</w:t>
      </w:r>
      <w:r w:rsidR="0065389C" w:rsidRPr="009F0955">
        <w:rPr>
          <w:rFonts w:ascii="Arial Narrow" w:hAnsi="Arial Narrow"/>
        </w:rPr>
        <w:t xml:space="preserve">. </w:t>
      </w:r>
    </w:p>
    <w:p w14:paraId="3F36C686" w14:textId="5DFA4FBB" w:rsidR="00A52312" w:rsidRPr="009F0955" w:rsidRDefault="00911BF3" w:rsidP="00A619A6">
      <w:pPr>
        <w:spacing w:line="480" w:lineRule="auto"/>
        <w:ind w:firstLine="720"/>
        <w:rPr>
          <w:rFonts w:ascii="Arial Narrow" w:hAnsi="Arial Narrow"/>
        </w:rPr>
      </w:pPr>
      <w:r>
        <w:rPr>
          <w:rFonts w:ascii="Arial Narrow" w:hAnsi="Arial Narrow"/>
        </w:rPr>
        <w:t>In addition to h</w:t>
      </w:r>
      <w:r w:rsidR="0065389C" w:rsidRPr="009F0955">
        <w:rPr>
          <w:rFonts w:ascii="Arial Narrow" w:hAnsi="Arial Narrow"/>
        </w:rPr>
        <w:t xml:space="preserve">olding owners and senior-level executives </w:t>
      </w:r>
      <w:r>
        <w:rPr>
          <w:rFonts w:ascii="Arial Narrow" w:hAnsi="Arial Narrow"/>
        </w:rPr>
        <w:t xml:space="preserve">more </w:t>
      </w:r>
      <w:r w:rsidR="0065389C" w:rsidRPr="009F0955">
        <w:rPr>
          <w:rFonts w:ascii="Arial Narrow" w:hAnsi="Arial Narrow"/>
        </w:rPr>
        <w:t>responsible</w:t>
      </w:r>
      <w:r>
        <w:rPr>
          <w:rFonts w:ascii="Arial Narrow" w:hAnsi="Arial Narrow"/>
        </w:rPr>
        <w:t xml:space="preserve"> for compliance</w:t>
      </w:r>
      <w:r w:rsidR="0065389C" w:rsidRPr="009F0955">
        <w:rPr>
          <w:rFonts w:ascii="Arial Narrow" w:hAnsi="Arial Narrow"/>
        </w:rPr>
        <w:t xml:space="preserve">, </w:t>
      </w:r>
      <w:r w:rsidR="00D8670E" w:rsidRPr="009F0955">
        <w:rPr>
          <w:rFonts w:ascii="Arial Narrow" w:hAnsi="Arial Narrow"/>
        </w:rPr>
        <w:t xml:space="preserve">authorities have </w:t>
      </w:r>
      <w:r>
        <w:rPr>
          <w:rFonts w:ascii="Arial Narrow" w:hAnsi="Arial Narrow"/>
        </w:rPr>
        <w:t xml:space="preserve">also focused on </w:t>
      </w:r>
      <w:r w:rsidR="0015771A">
        <w:rPr>
          <w:rFonts w:ascii="Arial Narrow" w:hAnsi="Arial Narrow"/>
        </w:rPr>
        <w:t xml:space="preserve">driving compliance </w:t>
      </w:r>
      <w:r>
        <w:rPr>
          <w:rFonts w:ascii="Arial Narrow" w:hAnsi="Arial Narrow"/>
        </w:rPr>
        <w:t>message</w:t>
      </w:r>
      <w:r w:rsidR="00027867">
        <w:rPr>
          <w:rFonts w:ascii="Arial Narrow" w:hAnsi="Arial Narrow"/>
        </w:rPr>
        <w:t>s</w:t>
      </w:r>
      <w:r w:rsidR="00B0144C">
        <w:rPr>
          <w:rFonts w:ascii="Arial Narrow" w:hAnsi="Arial Narrow"/>
        </w:rPr>
        <w:t xml:space="preserve"> through </w:t>
      </w:r>
      <w:r w:rsidR="0015771A">
        <w:rPr>
          <w:rFonts w:ascii="Arial Narrow" w:hAnsi="Arial Narrow"/>
        </w:rPr>
        <w:t xml:space="preserve">companies’ </w:t>
      </w:r>
      <w:r>
        <w:rPr>
          <w:rFonts w:ascii="Arial Narrow" w:hAnsi="Arial Narrow"/>
        </w:rPr>
        <w:t xml:space="preserve">ranks effectively. In </w:t>
      </w:r>
      <w:r>
        <w:rPr>
          <w:rFonts w:ascii="Arial Narrow" w:hAnsi="Arial Narrow"/>
        </w:rPr>
        <w:lastRenderedPageBreak/>
        <w:t xml:space="preserve">many cases companies </w:t>
      </w:r>
      <w:r w:rsidR="00B0144C">
        <w:rPr>
          <w:rFonts w:ascii="Arial Narrow" w:hAnsi="Arial Narrow"/>
        </w:rPr>
        <w:t>are</w:t>
      </w:r>
      <w:r>
        <w:rPr>
          <w:rFonts w:ascii="Arial Narrow" w:hAnsi="Arial Narrow"/>
        </w:rPr>
        <w:t xml:space="preserve"> </w:t>
      </w:r>
      <w:r w:rsidR="00D8670E" w:rsidRPr="009F0955">
        <w:rPr>
          <w:rFonts w:ascii="Arial Narrow" w:hAnsi="Arial Narrow"/>
        </w:rPr>
        <w:t xml:space="preserve">required </w:t>
      </w:r>
      <w:r>
        <w:rPr>
          <w:rFonts w:ascii="Arial Narrow" w:hAnsi="Arial Narrow"/>
        </w:rPr>
        <w:t>to</w:t>
      </w:r>
      <w:r w:rsidR="00D8670E" w:rsidRPr="009F0955">
        <w:rPr>
          <w:rFonts w:ascii="Arial Narrow" w:hAnsi="Arial Narrow"/>
        </w:rPr>
        <w:t xml:space="preserve"> back up their sometimes</w:t>
      </w:r>
      <w:r w:rsidR="00B0144C">
        <w:rPr>
          <w:rFonts w:ascii="Arial Narrow" w:hAnsi="Arial Narrow"/>
        </w:rPr>
        <w:t>-l</w:t>
      </w:r>
      <w:r w:rsidR="00D8670E" w:rsidRPr="009F0955">
        <w:rPr>
          <w:rFonts w:ascii="Arial Narrow" w:hAnsi="Arial Narrow"/>
        </w:rPr>
        <w:t xml:space="preserve">ofty talk on ethics </w:t>
      </w:r>
      <w:r>
        <w:rPr>
          <w:rFonts w:ascii="Arial Narrow" w:hAnsi="Arial Narrow"/>
        </w:rPr>
        <w:t xml:space="preserve">and compliance with </w:t>
      </w:r>
      <w:r w:rsidR="00B0144C">
        <w:rPr>
          <w:rFonts w:ascii="Arial Narrow" w:hAnsi="Arial Narrow"/>
        </w:rPr>
        <w:t xml:space="preserve">specific, practical actions. In many cases these actions are </w:t>
      </w:r>
      <w:r>
        <w:rPr>
          <w:rFonts w:ascii="Arial Narrow" w:hAnsi="Arial Narrow"/>
        </w:rPr>
        <w:t>financial incentives</w:t>
      </w:r>
      <w:r w:rsidR="00B0144C">
        <w:rPr>
          <w:rFonts w:ascii="Arial Narrow" w:hAnsi="Arial Narrow"/>
        </w:rPr>
        <w:t xml:space="preserve">, </w:t>
      </w:r>
      <w:r>
        <w:rPr>
          <w:rFonts w:ascii="Arial Narrow" w:hAnsi="Arial Narrow"/>
        </w:rPr>
        <w:t xml:space="preserve">under the time-proven theory that people </w:t>
      </w:r>
      <w:r w:rsidR="00027867">
        <w:rPr>
          <w:rFonts w:ascii="Arial Narrow" w:hAnsi="Arial Narrow"/>
        </w:rPr>
        <w:t xml:space="preserve">generally </w:t>
      </w:r>
      <w:r>
        <w:rPr>
          <w:rFonts w:ascii="Arial Narrow" w:hAnsi="Arial Narrow"/>
        </w:rPr>
        <w:t>do what they get paid to do</w:t>
      </w:r>
      <w:r w:rsidR="00027867">
        <w:rPr>
          <w:rFonts w:ascii="Arial Narrow" w:hAnsi="Arial Narrow"/>
        </w:rPr>
        <w:t xml:space="preserve">; </w:t>
      </w:r>
      <w:r w:rsidR="00B0144C">
        <w:rPr>
          <w:rFonts w:ascii="Arial Narrow" w:hAnsi="Arial Narrow"/>
        </w:rPr>
        <w:t xml:space="preserve">that </w:t>
      </w:r>
      <w:r w:rsidR="00027867">
        <w:rPr>
          <w:rFonts w:ascii="Arial Narrow" w:hAnsi="Arial Narrow"/>
        </w:rPr>
        <w:t>they generally prioritize what they get paid to prioritize</w:t>
      </w:r>
      <w:r>
        <w:rPr>
          <w:rFonts w:ascii="Arial Narrow" w:hAnsi="Arial Narrow"/>
        </w:rPr>
        <w:t>. T</w:t>
      </w:r>
      <w:r w:rsidR="00D8670E" w:rsidRPr="009F0955">
        <w:rPr>
          <w:rFonts w:ascii="Arial Narrow" w:hAnsi="Arial Narrow"/>
        </w:rPr>
        <w:t>hrough eliminating financial incentives that could encourage non-compliance, and install</w:t>
      </w:r>
      <w:r>
        <w:rPr>
          <w:rFonts w:ascii="Arial Narrow" w:hAnsi="Arial Narrow"/>
        </w:rPr>
        <w:t>ing</w:t>
      </w:r>
      <w:r w:rsidR="00D8670E" w:rsidRPr="009F0955">
        <w:rPr>
          <w:rFonts w:ascii="Arial Narrow" w:hAnsi="Arial Narrow"/>
        </w:rPr>
        <w:t xml:space="preserve"> well</w:t>
      </w:r>
      <w:r>
        <w:rPr>
          <w:rFonts w:ascii="Arial Narrow" w:hAnsi="Arial Narrow"/>
        </w:rPr>
        <w:t xml:space="preserve"> </w:t>
      </w:r>
      <w:r w:rsidR="00D8670E" w:rsidRPr="009F0955">
        <w:rPr>
          <w:rFonts w:ascii="Arial Narrow" w:hAnsi="Arial Narrow"/>
        </w:rPr>
        <w:t>defined, built in financial incentives that encourage compliance</w:t>
      </w:r>
      <w:r>
        <w:rPr>
          <w:rFonts w:ascii="Arial Narrow" w:hAnsi="Arial Narrow"/>
        </w:rPr>
        <w:t xml:space="preserve">, </w:t>
      </w:r>
      <w:r w:rsidR="00B04B1F">
        <w:rPr>
          <w:rFonts w:ascii="Arial Narrow" w:hAnsi="Arial Narrow"/>
        </w:rPr>
        <w:t xml:space="preserve">these </w:t>
      </w:r>
      <w:r>
        <w:rPr>
          <w:rFonts w:ascii="Arial Narrow" w:hAnsi="Arial Narrow"/>
        </w:rPr>
        <w:t xml:space="preserve">companies </w:t>
      </w:r>
      <w:r w:rsidR="00027867">
        <w:rPr>
          <w:rFonts w:ascii="Arial Narrow" w:hAnsi="Arial Narrow"/>
        </w:rPr>
        <w:t>have been</w:t>
      </w:r>
      <w:r w:rsidR="00B04B1F">
        <w:rPr>
          <w:rFonts w:ascii="Arial Narrow" w:hAnsi="Arial Narrow"/>
        </w:rPr>
        <w:t xml:space="preserve"> </w:t>
      </w:r>
      <w:r w:rsidR="00B0144C">
        <w:rPr>
          <w:rFonts w:ascii="Arial Narrow" w:hAnsi="Arial Narrow"/>
        </w:rPr>
        <w:t xml:space="preserve">truly </w:t>
      </w:r>
      <w:r w:rsidR="00B04B1F">
        <w:rPr>
          <w:rFonts w:ascii="Arial Narrow" w:hAnsi="Arial Narrow"/>
        </w:rPr>
        <w:t xml:space="preserve">required to </w:t>
      </w:r>
      <w:r w:rsidR="00027867">
        <w:rPr>
          <w:rFonts w:ascii="Arial Narrow" w:hAnsi="Arial Narrow"/>
        </w:rPr>
        <w:t>“</w:t>
      </w:r>
      <w:r w:rsidR="00B04B1F">
        <w:rPr>
          <w:rFonts w:ascii="Arial Narrow" w:hAnsi="Arial Narrow"/>
        </w:rPr>
        <w:t xml:space="preserve">put their </w:t>
      </w:r>
      <w:r w:rsidR="00027867">
        <w:rPr>
          <w:rFonts w:ascii="Arial Narrow" w:hAnsi="Arial Narrow"/>
        </w:rPr>
        <w:t>money</w:t>
      </w:r>
      <w:r w:rsidR="00D8670E" w:rsidRPr="009F0955">
        <w:rPr>
          <w:rFonts w:ascii="Arial Narrow" w:hAnsi="Arial Narrow"/>
        </w:rPr>
        <w:t xml:space="preserve"> where their mouths are</w:t>
      </w:r>
      <w:r w:rsidR="00CD4E78">
        <w:rPr>
          <w:rFonts w:ascii="Arial Narrow" w:hAnsi="Arial Narrow"/>
        </w:rPr>
        <w:t>.</w:t>
      </w:r>
      <w:r w:rsidR="00027867">
        <w:rPr>
          <w:rFonts w:ascii="Arial Narrow" w:hAnsi="Arial Narrow"/>
        </w:rPr>
        <w:t>”</w:t>
      </w:r>
      <w:r w:rsidR="00D8670E" w:rsidRPr="009F0955">
        <w:rPr>
          <w:rFonts w:ascii="Arial Narrow" w:hAnsi="Arial Narrow"/>
        </w:rPr>
        <w:t xml:space="preserve"> </w:t>
      </w:r>
      <w:r w:rsidR="00B0144C">
        <w:rPr>
          <w:rFonts w:ascii="Arial Narrow" w:hAnsi="Arial Narrow"/>
        </w:rPr>
        <w:t>In these cases</w:t>
      </w:r>
      <w:r w:rsidR="00660F5D">
        <w:rPr>
          <w:rFonts w:ascii="Arial Narrow" w:hAnsi="Arial Narrow"/>
        </w:rPr>
        <w:t xml:space="preserve"> </w:t>
      </w:r>
      <w:r w:rsidR="002051DD" w:rsidRPr="009F0955">
        <w:rPr>
          <w:rFonts w:ascii="Arial Narrow" w:hAnsi="Arial Narrow"/>
        </w:rPr>
        <w:t>authorities have focused on key risk areas, such as sales, marketing</w:t>
      </w:r>
      <w:r w:rsidR="00AE7197" w:rsidRPr="009F0955">
        <w:rPr>
          <w:rFonts w:ascii="Arial Narrow" w:hAnsi="Arial Narrow"/>
        </w:rPr>
        <w:t>,</w:t>
      </w:r>
      <w:r w:rsidR="002051DD" w:rsidRPr="009F0955">
        <w:rPr>
          <w:rFonts w:ascii="Arial Narrow" w:hAnsi="Arial Narrow"/>
        </w:rPr>
        <w:t xml:space="preserve"> health care practitioner </w:t>
      </w:r>
      <w:r w:rsidR="00AE7197" w:rsidRPr="009F0955">
        <w:rPr>
          <w:rFonts w:ascii="Arial Narrow" w:hAnsi="Arial Narrow"/>
        </w:rPr>
        <w:t>relationships and arrangements, and institution invoicing</w:t>
      </w:r>
      <w:r w:rsidR="002051DD" w:rsidRPr="009F0955">
        <w:rPr>
          <w:rFonts w:ascii="Arial Narrow" w:hAnsi="Arial Narrow"/>
        </w:rPr>
        <w:t xml:space="preserve">. </w:t>
      </w:r>
      <w:r w:rsidR="00767044" w:rsidRPr="009F0955">
        <w:rPr>
          <w:rFonts w:ascii="Arial Narrow" w:hAnsi="Arial Narrow"/>
        </w:rPr>
        <w:t xml:space="preserve">Unwilling to </w:t>
      </w:r>
      <w:r w:rsidR="00A52312" w:rsidRPr="009F0955">
        <w:rPr>
          <w:rFonts w:ascii="Arial Narrow" w:hAnsi="Arial Narrow"/>
        </w:rPr>
        <w:t>restrict</w:t>
      </w:r>
      <w:r w:rsidR="00767044" w:rsidRPr="009F0955">
        <w:rPr>
          <w:rFonts w:ascii="Arial Narrow" w:hAnsi="Arial Narrow"/>
        </w:rPr>
        <w:t xml:space="preserve"> their focus </w:t>
      </w:r>
      <w:r w:rsidR="00A52312" w:rsidRPr="009F0955">
        <w:rPr>
          <w:rFonts w:ascii="Arial Narrow" w:hAnsi="Arial Narrow"/>
        </w:rPr>
        <w:t>to</w:t>
      </w:r>
      <w:r w:rsidR="00767044" w:rsidRPr="009F0955">
        <w:rPr>
          <w:rFonts w:ascii="Arial Narrow" w:hAnsi="Arial Narrow"/>
        </w:rPr>
        <w:t xml:space="preserve"> front sales personnel and managers, marketing teams, and contracting and billing departments, authorities have kept their </w:t>
      </w:r>
      <w:r w:rsidR="00A52312" w:rsidRPr="009F0955">
        <w:rPr>
          <w:rFonts w:ascii="Arial Narrow" w:hAnsi="Arial Narrow"/>
        </w:rPr>
        <w:t>eye</w:t>
      </w:r>
      <w:r w:rsidR="00767044" w:rsidRPr="009F0955">
        <w:rPr>
          <w:rFonts w:ascii="Arial Narrow" w:hAnsi="Arial Narrow"/>
        </w:rPr>
        <w:t xml:space="preserve"> on senior executives</w:t>
      </w:r>
      <w:r w:rsidR="00A52312" w:rsidRPr="009F0955">
        <w:rPr>
          <w:rFonts w:ascii="Arial Narrow" w:hAnsi="Arial Narrow"/>
        </w:rPr>
        <w:t xml:space="preserve"> as well</w:t>
      </w:r>
      <w:r w:rsidR="00767044" w:rsidRPr="009F0955">
        <w:rPr>
          <w:rFonts w:ascii="Arial Narrow" w:hAnsi="Arial Narrow"/>
        </w:rPr>
        <w:t xml:space="preserve">, </w:t>
      </w:r>
      <w:r w:rsidR="00A52312" w:rsidRPr="009F0955">
        <w:rPr>
          <w:rFonts w:ascii="Arial Narrow" w:hAnsi="Arial Narrow"/>
        </w:rPr>
        <w:t xml:space="preserve">with a clear view towards their </w:t>
      </w:r>
      <w:r w:rsidR="00767044" w:rsidRPr="009F0955">
        <w:rPr>
          <w:rFonts w:ascii="Arial Narrow" w:hAnsi="Arial Narrow"/>
        </w:rPr>
        <w:t xml:space="preserve">accountability for the actions of those </w:t>
      </w:r>
      <w:r w:rsidR="00B0144C">
        <w:rPr>
          <w:rFonts w:ascii="Arial Narrow" w:hAnsi="Arial Narrow"/>
        </w:rPr>
        <w:t xml:space="preserve">working </w:t>
      </w:r>
      <w:r w:rsidR="00767044" w:rsidRPr="009F0955">
        <w:rPr>
          <w:rFonts w:ascii="Arial Narrow" w:hAnsi="Arial Narrow"/>
        </w:rPr>
        <w:t xml:space="preserve">within </w:t>
      </w:r>
      <w:r w:rsidR="00A52312" w:rsidRPr="009F0955">
        <w:rPr>
          <w:rFonts w:ascii="Arial Narrow" w:hAnsi="Arial Narrow"/>
        </w:rPr>
        <w:t xml:space="preserve">their areas of responsibility. This accountability has come through compensation recoupment; most commonly the forfeiture/recoupment of </w:t>
      </w:r>
      <w:r w:rsidR="00B04B1F">
        <w:rPr>
          <w:rFonts w:ascii="Arial Narrow" w:hAnsi="Arial Narrow"/>
        </w:rPr>
        <w:t>three</w:t>
      </w:r>
      <w:r w:rsidR="00A52312" w:rsidRPr="009F0955">
        <w:rPr>
          <w:rFonts w:ascii="Arial Narrow" w:hAnsi="Arial Narrow"/>
        </w:rPr>
        <w:t xml:space="preserve"> years of performance pay (cash bonuses, long term incentives) for instances of “significant misconduct.” Significant misconduct penalties apply for executives’ personal wrongdoing, of course, but also </w:t>
      </w:r>
      <w:r w:rsidR="00660F5D">
        <w:rPr>
          <w:rFonts w:ascii="Arial Narrow" w:hAnsi="Arial Narrow"/>
        </w:rPr>
        <w:t xml:space="preserve">to executives for </w:t>
      </w:r>
      <w:r w:rsidR="00A52312" w:rsidRPr="009F0955">
        <w:rPr>
          <w:rFonts w:ascii="Arial Narrow" w:hAnsi="Arial Narrow"/>
        </w:rPr>
        <w:t xml:space="preserve">the misconduct of their subordinates where the executives knew or should have known that the noncompliance would occur. </w:t>
      </w:r>
      <w:r w:rsidR="00D876D2" w:rsidRPr="009F0955">
        <w:rPr>
          <w:rFonts w:ascii="Arial Narrow" w:hAnsi="Arial Narrow"/>
        </w:rPr>
        <w:t>With this new emphasis on financial incentives, common company techniques to encourage compliance, such as including company ethics or compliance requirement</w:t>
      </w:r>
      <w:r w:rsidR="00660F5D">
        <w:rPr>
          <w:rFonts w:ascii="Arial Narrow" w:hAnsi="Arial Narrow"/>
        </w:rPr>
        <w:t>s</w:t>
      </w:r>
      <w:r w:rsidR="00D876D2" w:rsidRPr="009F0955">
        <w:rPr>
          <w:rFonts w:ascii="Arial Narrow" w:hAnsi="Arial Narrow"/>
        </w:rPr>
        <w:t xml:space="preserve"> in the</w:t>
      </w:r>
      <w:r w:rsidR="00660F5D">
        <w:rPr>
          <w:rFonts w:ascii="Arial Narrow" w:hAnsi="Arial Narrow"/>
        </w:rPr>
        <w:t>ir</w:t>
      </w:r>
      <w:r w:rsidR="00D876D2" w:rsidRPr="009F0955">
        <w:rPr>
          <w:rFonts w:ascii="Arial Narrow" w:hAnsi="Arial Narrow"/>
        </w:rPr>
        <w:t xml:space="preserve"> employee code</w:t>
      </w:r>
      <w:r w:rsidR="00660F5D">
        <w:rPr>
          <w:rFonts w:ascii="Arial Narrow" w:hAnsi="Arial Narrow"/>
        </w:rPr>
        <w:t>s</w:t>
      </w:r>
      <w:r w:rsidR="00D876D2" w:rsidRPr="009F0955">
        <w:rPr>
          <w:rFonts w:ascii="Arial Narrow" w:hAnsi="Arial Narrow"/>
        </w:rPr>
        <w:t xml:space="preserve"> of conduct, and including </w:t>
      </w:r>
      <w:r w:rsidR="00660F5D">
        <w:rPr>
          <w:rFonts w:ascii="Arial Narrow" w:hAnsi="Arial Narrow"/>
        </w:rPr>
        <w:t>them</w:t>
      </w:r>
      <w:r w:rsidR="00D876D2" w:rsidRPr="009F0955">
        <w:rPr>
          <w:rFonts w:ascii="Arial Narrow" w:hAnsi="Arial Narrow"/>
        </w:rPr>
        <w:t xml:space="preserve"> as a factor in performance reviews, is not sufficient. </w:t>
      </w:r>
    </w:p>
    <w:p w14:paraId="28D372C4" w14:textId="19AE244F" w:rsidR="009F0955" w:rsidRPr="009F0955" w:rsidRDefault="00A15441" w:rsidP="00A619A6">
      <w:pPr>
        <w:spacing w:line="480" w:lineRule="auto"/>
        <w:ind w:firstLine="720"/>
        <w:rPr>
          <w:rFonts w:ascii="Arial Narrow" w:hAnsi="Arial Narrow"/>
        </w:rPr>
      </w:pPr>
      <w:r>
        <w:rPr>
          <w:rFonts w:ascii="Arial Narrow" w:hAnsi="Arial Narrow"/>
        </w:rPr>
        <w:t>Through analysi</w:t>
      </w:r>
      <w:r w:rsidR="00114E97">
        <w:rPr>
          <w:rFonts w:ascii="Arial Narrow" w:hAnsi="Arial Narrow"/>
        </w:rPr>
        <w:t>s of these agreements we gain clues</w:t>
      </w:r>
      <w:r>
        <w:rPr>
          <w:rFonts w:ascii="Arial Narrow" w:hAnsi="Arial Narrow"/>
        </w:rPr>
        <w:t xml:space="preserve"> </w:t>
      </w:r>
      <w:r w:rsidR="00114E97">
        <w:rPr>
          <w:rFonts w:ascii="Arial Narrow" w:hAnsi="Arial Narrow"/>
        </w:rPr>
        <w:t>on what</w:t>
      </w:r>
      <w:r>
        <w:rPr>
          <w:rFonts w:ascii="Arial Narrow" w:hAnsi="Arial Narrow"/>
        </w:rPr>
        <w:t xml:space="preserve"> government authorities, or at least HHS OIG, believe </w:t>
      </w:r>
      <w:r w:rsidR="00114E97">
        <w:rPr>
          <w:rFonts w:ascii="Arial Narrow" w:hAnsi="Arial Narrow"/>
        </w:rPr>
        <w:t xml:space="preserve">best answers </w:t>
      </w:r>
      <w:r w:rsidR="00B0144C">
        <w:rPr>
          <w:rFonts w:ascii="Arial Narrow" w:hAnsi="Arial Narrow"/>
        </w:rPr>
        <w:t xml:space="preserve">the most recent questions </w:t>
      </w:r>
      <w:r w:rsidR="00114E97">
        <w:rPr>
          <w:rFonts w:ascii="Arial Narrow" w:hAnsi="Arial Narrow"/>
        </w:rPr>
        <w:t>of compliance program effectiveness</w:t>
      </w:r>
      <w:r w:rsidR="000A0459">
        <w:rPr>
          <w:rFonts w:ascii="Arial Narrow" w:hAnsi="Arial Narrow"/>
        </w:rPr>
        <w:t xml:space="preserve"> – sufficient resources tied to ownership and senior executive management responsibility, driv</w:t>
      </w:r>
      <w:r w:rsidR="00B0144C">
        <w:rPr>
          <w:rFonts w:ascii="Arial Narrow" w:hAnsi="Arial Narrow"/>
        </w:rPr>
        <w:t>en</w:t>
      </w:r>
      <w:r w:rsidR="000A0459">
        <w:rPr>
          <w:rFonts w:ascii="Arial Narrow" w:hAnsi="Arial Narrow"/>
        </w:rPr>
        <w:t xml:space="preserve"> </w:t>
      </w:r>
      <w:r w:rsidR="00B0144C">
        <w:rPr>
          <w:rFonts w:ascii="Arial Narrow" w:hAnsi="Arial Narrow"/>
        </w:rPr>
        <w:t xml:space="preserve">through their companies by </w:t>
      </w:r>
      <w:r w:rsidR="000A0459">
        <w:rPr>
          <w:rFonts w:ascii="Arial Narrow" w:hAnsi="Arial Narrow"/>
        </w:rPr>
        <w:t>financial incentives. As</w:t>
      </w:r>
      <w:r w:rsidR="00114E97">
        <w:rPr>
          <w:rFonts w:ascii="Arial Narrow" w:hAnsi="Arial Narrow"/>
        </w:rPr>
        <w:t xml:space="preserve"> </w:t>
      </w:r>
      <w:r w:rsidR="00CD4E78">
        <w:rPr>
          <w:rFonts w:ascii="Arial Narrow" w:hAnsi="Arial Narrow"/>
        </w:rPr>
        <w:t>government</w:t>
      </w:r>
      <w:r w:rsidR="00114E97">
        <w:rPr>
          <w:rFonts w:ascii="Arial Narrow" w:hAnsi="Arial Narrow"/>
        </w:rPr>
        <w:t xml:space="preserve"> agencies </w:t>
      </w:r>
      <w:r w:rsidR="00B0144C">
        <w:rPr>
          <w:rFonts w:ascii="Arial Narrow" w:hAnsi="Arial Narrow"/>
        </w:rPr>
        <w:t>enforcing</w:t>
      </w:r>
      <w:r w:rsidR="00114E97">
        <w:rPr>
          <w:rFonts w:ascii="Arial Narrow" w:hAnsi="Arial Narrow"/>
        </w:rPr>
        <w:t xml:space="preserve"> the law, and </w:t>
      </w:r>
      <w:r w:rsidR="00B0144C">
        <w:rPr>
          <w:rFonts w:ascii="Arial Narrow" w:hAnsi="Arial Narrow"/>
        </w:rPr>
        <w:t xml:space="preserve">as organizations with </w:t>
      </w:r>
      <w:r w:rsidR="00114E97">
        <w:rPr>
          <w:rFonts w:ascii="Arial Narrow" w:hAnsi="Arial Narrow"/>
        </w:rPr>
        <w:t xml:space="preserve">more than </w:t>
      </w:r>
      <w:r w:rsidR="00B0144C">
        <w:rPr>
          <w:rFonts w:ascii="Arial Narrow" w:hAnsi="Arial Narrow"/>
        </w:rPr>
        <w:t xml:space="preserve">35 </w:t>
      </w:r>
      <w:r w:rsidR="00114E97">
        <w:rPr>
          <w:rFonts w:ascii="Arial Narrow" w:hAnsi="Arial Narrow"/>
        </w:rPr>
        <w:t xml:space="preserve">years of experience in addressing compliance failures, these clues are worthy of our attention. Clearly, in their view, the answers lie beyond a simple discussion of how many resources to </w:t>
      </w:r>
      <w:r w:rsidR="00114E97">
        <w:rPr>
          <w:rFonts w:ascii="Arial Narrow" w:hAnsi="Arial Narrow"/>
        </w:rPr>
        <w:lastRenderedPageBreak/>
        <w:t xml:space="preserve">invest, </w:t>
      </w:r>
      <w:r w:rsidR="00B0144C">
        <w:rPr>
          <w:rFonts w:ascii="Arial Narrow" w:hAnsi="Arial Narrow"/>
        </w:rPr>
        <w:t>but go further i</w:t>
      </w:r>
      <w:r w:rsidR="00114E97">
        <w:rPr>
          <w:rFonts w:ascii="Arial Narrow" w:hAnsi="Arial Narrow"/>
        </w:rPr>
        <w:t>nto the nature of the resources</w:t>
      </w:r>
      <w:r w:rsidR="00B0144C">
        <w:rPr>
          <w:rFonts w:ascii="Arial Narrow" w:hAnsi="Arial Narrow"/>
        </w:rPr>
        <w:t xml:space="preserve"> needed</w:t>
      </w:r>
      <w:r w:rsidR="00114E97">
        <w:rPr>
          <w:rFonts w:ascii="Arial Narrow" w:hAnsi="Arial Narrow"/>
        </w:rPr>
        <w:t>, who invests them, how they are invested and who is ultimately responsible for ensuring compliance.</w:t>
      </w:r>
      <w:r w:rsidR="00B41B59">
        <w:rPr>
          <w:rStyle w:val="FootnoteReference"/>
          <w:rFonts w:ascii="Arial Narrow" w:hAnsi="Arial Narrow"/>
        </w:rPr>
        <w:footnoteReference w:id="3"/>
      </w:r>
      <w:r w:rsidR="00114E97">
        <w:rPr>
          <w:rFonts w:ascii="Arial Narrow" w:hAnsi="Arial Narrow"/>
        </w:rPr>
        <w:t xml:space="preserve"> </w:t>
      </w:r>
      <w:r w:rsidR="007A0A24">
        <w:rPr>
          <w:rFonts w:ascii="Arial Narrow" w:hAnsi="Arial Narrow"/>
        </w:rPr>
        <w:t xml:space="preserve">More than </w:t>
      </w:r>
      <w:r w:rsidR="00B0144C">
        <w:rPr>
          <w:rFonts w:ascii="Arial Narrow" w:hAnsi="Arial Narrow"/>
        </w:rPr>
        <w:t xml:space="preserve">just </w:t>
      </w:r>
      <w:r w:rsidR="007A0A24">
        <w:rPr>
          <w:rFonts w:ascii="Arial Narrow" w:hAnsi="Arial Narrow"/>
        </w:rPr>
        <w:t xml:space="preserve">trends </w:t>
      </w:r>
      <w:r w:rsidR="00B0144C">
        <w:rPr>
          <w:rFonts w:ascii="Arial Narrow" w:hAnsi="Arial Narrow"/>
        </w:rPr>
        <w:t xml:space="preserve">found in </w:t>
      </w:r>
      <w:r w:rsidR="007A0A24">
        <w:rPr>
          <w:rFonts w:ascii="Arial Narrow" w:hAnsi="Arial Narrow"/>
        </w:rPr>
        <w:t>settlement</w:t>
      </w:r>
      <w:r w:rsidR="000A0459">
        <w:rPr>
          <w:rFonts w:ascii="Arial Narrow" w:hAnsi="Arial Narrow"/>
        </w:rPr>
        <w:t xml:space="preserve"> agreements, </w:t>
      </w:r>
      <w:r w:rsidR="00B04B1F">
        <w:rPr>
          <w:rFonts w:ascii="Arial Narrow" w:hAnsi="Arial Narrow"/>
        </w:rPr>
        <w:t xml:space="preserve">the </w:t>
      </w:r>
      <w:r w:rsidR="007A0A24">
        <w:rPr>
          <w:rFonts w:ascii="Arial Narrow" w:hAnsi="Arial Narrow"/>
        </w:rPr>
        <w:t>movement towards individual responsibility and</w:t>
      </w:r>
      <w:r w:rsidR="00B0144C">
        <w:rPr>
          <w:rFonts w:ascii="Arial Narrow" w:hAnsi="Arial Narrow"/>
        </w:rPr>
        <w:t xml:space="preserve"> accountability is driven by</w:t>
      </w:r>
      <w:r w:rsidR="007A0A24">
        <w:rPr>
          <w:rFonts w:ascii="Arial Narrow" w:hAnsi="Arial Narrow"/>
        </w:rPr>
        <w:t xml:space="preserve"> the law as well. </w:t>
      </w:r>
      <w:r w:rsidR="009F0955">
        <w:rPr>
          <w:rFonts w:ascii="Arial Narrow" w:hAnsi="Arial Narrow"/>
        </w:rPr>
        <w:t>For</w:t>
      </w:r>
      <w:r w:rsidR="00B0144C">
        <w:rPr>
          <w:rFonts w:ascii="Arial Narrow" w:hAnsi="Arial Narrow"/>
        </w:rPr>
        <w:t xml:space="preserve"> the</w:t>
      </w:r>
      <w:r w:rsidR="009F0955">
        <w:rPr>
          <w:rFonts w:ascii="Arial Narrow" w:hAnsi="Arial Narrow"/>
        </w:rPr>
        <w:t xml:space="preserve"> past </w:t>
      </w:r>
      <w:r w:rsidR="00B0144C">
        <w:rPr>
          <w:rFonts w:ascii="Arial Narrow" w:hAnsi="Arial Narrow"/>
        </w:rPr>
        <w:t xml:space="preserve">5 or more </w:t>
      </w:r>
      <w:r w:rsidR="009F0955">
        <w:rPr>
          <w:rFonts w:ascii="Arial Narrow" w:hAnsi="Arial Narrow"/>
        </w:rPr>
        <w:t>year</w:t>
      </w:r>
      <w:r w:rsidR="00B04B1F">
        <w:rPr>
          <w:rFonts w:ascii="Arial Narrow" w:hAnsi="Arial Narrow"/>
        </w:rPr>
        <w:t>s</w:t>
      </w:r>
      <w:r w:rsidR="009F0955">
        <w:rPr>
          <w:rFonts w:ascii="Arial Narrow" w:hAnsi="Arial Narrow"/>
        </w:rPr>
        <w:t xml:space="preserve"> there has been a</w:t>
      </w:r>
      <w:r w:rsidR="009F0955" w:rsidRPr="009F0955">
        <w:rPr>
          <w:rFonts w:ascii="Arial Narrow" w:hAnsi="Arial Narrow"/>
        </w:rPr>
        <w:t xml:space="preserve"> trend </w:t>
      </w:r>
      <w:r w:rsidR="00B0144C">
        <w:rPr>
          <w:rFonts w:ascii="Arial Narrow" w:hAnsi="Arial Narrow"/>
        </w:rPr>
        <w:t>of</w:t>
      </w:r>
      <w:r w:rsidR="009F0955" w:rsidRPr="009F0955">
        <w:rPr>
          <w:rFonts w:ascii="Arial Narrow" w:hAnsi="Arial Narrow"/>
        </w:rPr>
        <w:t xml:space="preserve"> increasingly holding individuals</w:t>
      </w:r>
      <w:r w:rsidR="009F0955">
        <w:rPr>
          <w:rFonts w:ascii="Arial Narrow" w:hAnsi="Arial Narrow"/>
        </w:rPr>
        <w:t xml:space="preserve">, including executives, </w:t>
      </w:r>
      <w:r w:rsidR="009F0955" w:rsidRPr="009F0955">
        <w:rPr>
          <w:rFonts w:ascii="Arial Narrow" w:hAnsi="Arial Narrow"/>
        </w:rPr>
        <w:t xml:space="preserve">criminally responsible for their participation in </w:t>
      </w:r>
      <w:r w:rsidR="009F0955">
        <w:rPr>
          <w:rFonts w:ascii="Arial Narrow" w:hAnsi="Arial Narrow"/>
        </w:rPr>
        <w:t>specific activities</w:t>
      </w:r>
      <w:r w:rsidR="00B0144C">
        <w:rPr>
          <w:rFonts w:ascii="Arial Narrow" w:hAnsi="Arial Narrow"/>
        </w:rPr>
        <w:t>. P</w:t>
      </w:r>
      <w:r w:rsidR="009F0955">
        <w:rPr>
          <w:rFonts w:ascii="Arial Narrow" w:hAnsi="Arial Narrow"/>
        </w:rPr>
        <w:t xml:space="preserve">erhaps even more concerning, </w:t>
      </w:r>
      <w:r w:rsidR="00B0144C">
        <w:rPr>
          <w:rFonts w:ascii="Arial Narrow" w:hAnsi="Arial Narrow"/>
        </w:rPr>
        <w:t xml:space="preserve">a trend </w:t>
      </w:r>
      <w:r w:rsidR="009F0955">
        <w:rPr>
          <w:rFonts w:ascii="Arial Narrow" w:hAnsi="Arial Narrow"/>
        </w:rPr>
        <w:t xml:space="preserve">to hold them </w:t>
      </w:r>
      <w:r w:rsidR="009F0955" w:rsidRPr="009F0955">
        <w:rPr>
          <w:rFonts w:ascii="Arial Narrow" w:hAnsi="Arial Narrow"/>
        </w:rPr>
        <w:t>responsible for activities</w:t>
      </w:r>
      <w:r w:rsidR="009F0955">
        <w:rPr>
          <w:rFonts w:ascii="Arial Narrow" w:hAnsi="Arial Narrow"/>
        </w:rPr>
        <w:t xml:space="preserve"> governed by public welfare laws</w:t>
      </w:r>
      <w:r w:rsidR="00B0144C">
        <w:rPr>
          <w:rFonts w:ascii="Arial Narrow" w:hAnsi="Arial Narrow"/>
        </w:rPr>
        <w:t xml:space="preserve"> where the executives </w:t>
      </w:r>
      <w:r w:rsidR="009F0955" w:rsidRPr="009F0955">
        <w:rPr>
          <w:rFonts w:ascii="Arial Narrow" w:hAnsi="Arial Narrow"/>
        </w:rPr>
        <w:t xml:space="preserve">did </w:t>
      </w:r>
      <w:r w:rsidR="009F0955" w:rsidRPr="009F0955">
        <w:rPr>
          <w:rFonts w:ascii="Arial Narrow" w:hAnsi="Arial Narrow"/>
          <w:u w:val="single"/>
        </w:rPr>
        <w:t>not</w:t>
      </w:r>
      <w:r w:rsidR="009F0955" w:rsidRPr="009F0955">
        <w:rPr>
          <w:rFonts w:ascii="Arial Narrow" w:hAnsi="Arial Narrow"/>
        </w:rPr>
        <w:t xml:space="preserve"> participate in</w:t>
      </w:r>
      <w:r w:rsidR="00B0144C">
        <w:rPr>
          <w:rFonts w:ascii="Arial Narrow" w:hAnsi="Arial Narrow"/>
        </w:rPr>
        <w:t xml:space="preserve"> the non-compliant conduct</w:t>
      </w:r>
      <w:r w:rsidR="009F0955" w:rsidRPr="009F0955">
        <w:rPr>
          <w:rFonts w:ascii="Arial Narrow" w:hAnsi="Arial Narrow"/>
        </w:rPr>
        <w:t xml:space="preserve">; or even know about. These prosecutions, exercised under a legal doctrine referred to the “Park Doctrine” or the “Responsible Corporate Officer” doctrine (“RCOD”), are based on the proposition that corporate officers can be held criminally liable for their failure to control the misconduct of subordinates, or their failure to discover </w:t>
      </w:r>
      <w:r w:rsidR="00312EFB">
        <w:rPr>
          <w:rFonts w:ascii="Arial Narrow" w:hAnsi="Arial Narrow"/>
        </w:rPr>
        <w:t>and</w:t>
      </w:r>
      <w:r w:rsidR="009F0955" w:rsidRPr="009F0955">
        <w:rPr>
          <w:rFonts w:ascii="Arial Narrow" w:hAnsi="Arial Narrow"/>
        </w:rPr>
        <w:t xml:space="preserve"> correct subordinates’ misconduct; even where they were not personally involved in the conduct; even where they were unaware.</w:t>
      </w:r>
      <w:r w:rsidR="009F0955">
        <w:rPr>
          <w:rStyle w:val="FootnoteReference"/>
          <w:rFonts w:ascii="Arial Narrow" w:hAnsi="Arial Narrow"/>
        </w:rPr>
        <w:footnoteReference w:id="4"/>
      </w:r>
      <w:r w:rsidR="009F0955" w:rsidRPr="009F0955">
        <w:rPr>
          <w:rFonts w:ascii="Arial Narrow" w:hAnsi="Arial Narrow"/>
        </w:rPr>
        <w:t xml:space="preserve">   </w:t>
      </w:r>
    </w:p>
    <w:p w14:paraId="630709D3" w14:textId="7022E403" w:rsidR="009F0955" w:rsidRPr="009F0955" w:rsidRDefault="00E10E2B" w:rsidP="00A619A6">
      <w:pPr>
        <w:spacing w:line="480" w:lineRule="auto"/>
        <w:ind w:firstLine="720"/>
        <w:rPr>
          <w:rFonts w:ascii="Arial Narrow" w:hAnsi="Arial Narrow"/>
        </w:rPr>
      </w:pPr>
      <w:r>
        <w:rPr>
          <w:rFonts w:ascii="Arial Narrow" w:eastAsia="Times New Roman" w:hAnsi="Arial Narrow"/>
        </w:rPr>
        <w:t xml:space="preserve">Similarly, </w:t>
      </w:r>
      <w:r w:rsidR="00A740BC">
        <w:rPr>
          <w:rFonts w:ascii="Arial Narrow" w:eastAsia="Times New Roman" w:hAnsi="Arial Narrow"/>
        </w:rPr>
        <w:t xml:space="preserve">HHS OIG has also made efforts to hold more individuals accountable for </w:t>
      </w:r>
      <w:r w:rsidR="009F0955" w:rsidRPr="009F0955">
        <w:rPr>
          <w:rFonts w:ascii="Arial Narrow" w:hAnsi="Arial Narrow"/>
        </w:rPr>
        <w:t>fraud, waste, an</w:t>
      </w:r>
      <w:r w:rsidR="0015771A">
        <w:rPr>
          <w:rFonts w:ascii="Arial Narrow" w:hAnsi="Arial Narrow"/>
        </w:rPr>
        <w:t>d abuse</w:t>
      </w:r>
      <w:r w:rsidR="00A740BC">
        <w:rPr>
          <w:rFonts w:ascii="Arial Narrow" w:hAnsi="Arial Narrow"/>
        </w:rPr>
        <w:t xml:space="preserve">. Daniel </w:t>
      </w:r>
      <w:r w:rsidR="009F0955" w:rsidRPr="009F0955">
        <w:rPr>
          <w:rFonts w:ascii="Arial Narrow" w:hAnsi="Arial Narrow"/>
        </w:rPr>
        <w:t>Levinson</w:t>
      </w:r>
      <w:r w:rsidR="00A740BC">
        <w:rPr>
          <w:rFonts w:ascii="Arial Narrow" w:hAnsi="Arial Narrow"/>
        </w:rPr>
        <w:t xml:space="preserve">, </w:t>
      </w:r>
      <w:r w:rsidR="00B0144C">
        <w:rPr>
          <w:rFonts w:ascii="Arial Narrow" w:hAnsi="Arial Narrow"/>
        </w:rPr>
        <w:t>HHS Inspector General, h</w:t>
      </w:r>
      <w:r w:rsidR="00A740BC">
        <w:rPr>
          <w:rFonts w:ascii="Arial Narrow" w:hAnsi="Arial Narrow"/>
        </w:rPr>
        <w:t xml:space="preserve">as frequently </w:t>
      </w:r>
      <w:r w:rsidR="009F0955" w:rsidRPr="009F0955">
        <w:rPr>
          <w:rFonts w:ascii="Arial Narrow" w:hAnsi="Arial Narrow"/>
        </w:rPr>
        <w:t>empha</w:t>
      </w:r>
      <w:r w:rsidR="00A740BC">
        <w:rPr>
          <w:rFonts w:ascii="Arial Narrow" w:hAnsi="Arial Narrow"/>
        </w:rPr>
        <w:t>sized</w:t>
      </w:r>
      <w:r w:rsidR="009F0955" w:rsidRPr="009F0955">
        <w:rPr>
          <w:rFonts w:ascii="Arial Narrow" w:hAnsi="Arial Narrow"/>
        </w:rPr>
        <w:t xml:space="preserve"> </w:t>
      </w:r>
      <w:r w:rsidR="00A740BC">
        <w:rPr>
          <w:rFonts w:ascii="Arial Narrow" w:hAnsi="Arial Narrow"/>
        </w:rPr>
        <w:t xml:space="preserve">a </w:t>
      </w:r>
      <w:r w:rsidR="009F0955" w:rsidRPr="009F0955">
        <w:rPr>
          <w:rFonts w:ascii="Arial Narrow" w:hAnsi="Arial Narrow"/>
        </w:rPr>
        <w:t xml:space="preserve">focus </w:t>
      </w:r>
      <w:r w:rsidR="00B0144C">
        <w:rPr>
          <w:rFonts w:ascii="Arial Narrow" w:hAnsi="Arial Narrow"/>
        </w:rPr>
        <w:t xml:space="preserve">on </w:t>
      </w:r>
      <w:r w:rsidR="00A740BC">
        <w:rPr>
          <w:rFonts w:ascii="Arial Narrow" w:hAnsi="Arial Narrow"/>
        </w:rPr>
        <w:t xml:space="preserve">seeking </w:t>
      </w:r>
      <w:r w:rsidR="00B0144C">
        <w:rPr>
          <w:rFonts w:ascii="Arial Narrow" w:hAnsi="Arial Narrow"/>
        </w:rPr>
        <w:t xml:space="preserve">personal </w:t>
      </w:r>
      <w:r w:rsidR="00A740BC">
        <w:rPr>
          <w:rFonts w:ascii="Arial Narrow" w:hAnsi="Arial Narrow"/>
        </w:rPr>
        <w:t xml:space="preserve">accountability for </w:t>
      </w:r>
      <w:r w:rsidR="009F0955" w:rsidRPr="009F0955">
        <w:rPr>
          <w:rFonts w:ascii="Arial Narrow" w:hAnsi="Arial Narrow"/>
        </w:rPr>
        <w:t xml:space="preserve">corporate executives, asserting that the HHS OIG has and will continue to increase the aggressiveness of its approach to excluding individuals from participation in Federally-funded health care programs; even where the individuals were not directly involved or even had knowledge of the </w:t>
      </w:r>
      <w:r w:rsidR="00B0144C">
        <w:rPr>
          <w:rFonts w:ascii="Arial Narrow" w:hAnsi="Arial Narrow"/>
        </w:rPr>
        <w:t xml:space="preserve">illegal conduct. </w:t>
      </w:r>
      <w:r w:rsidR="009F0955" w:rsidRPr="009F0955">
        <w:rPr>
          <w:rFonts w:ascii="Arial Narrow" w:hAnsi="Arial Narrow"/>
        </w:rPr>
        <w:t xml:space="preserve">According to </w:t>
      </w:r>
      <w:r w:rsidR="009F0955" w:rsidRPr="00667752">
        <w:rPr>
          <w:rFonts w:ascii="Arial Narrow" w:hAnsi="Arial Narrow"/>
        </w:rPr>
        <w:t>testimony</w:t>
      </w:r>
      <w:r w:rsidR="00667752" w:rsidRPr="00667752">
        <w:rPr>
          <w:rFonts w:ascii="Arial Narrow" w:hAnsi="Arial Narrow"/>
        </w:rPr>
        <w:t xml:space="preserve"> before </w:t>
      </w:r>
      <w:r w:rsidR="00667752">
        <w:rPr>
          <w:rFonts w:ascii="Arial Narrow" w:hAnsi="Arial Narrow"/>
        </w:rPr>
        <w:t xml:space="preserve">the </w:t>
      </w:r>
      <w:r w:rsidR="00667752" w:rsidRPr="00667752">
        <w:rPr>
          <w:rFonts w:ascii="Arial Narrow" w:hAnsi="Arial Narrow"/>
        </w:rPr>
        <w:t>House Committee on Appropriations, Subcommittee on Labor, Health and Human Services, Education and Related Agencies</w:t>
      </w:r>
      <w:r w:rsidR="009F0955" w:rsidRPr="00667752">
        <w:rPr>
          <w:rFonts w:ascii="Arial Narrow" w:hAnsi="Arial Narrow"/>
        </w:rPr>
        <w:t>, the</w:t>
      </w:r>
      <w:r w:rsidR="009F0955" w:rsidRPr="009F0955">
        <w:rPr>
          <w:rFonts w:ascii="Arial Narrow" w:hAnsi="Arial Narrow"/>
        </w:rPr>
        <w:t xml:space="preserve"> “OIG is . . . using our administrative authorities to hold responsible individuals accountable for fraud, including . . . responsible </w:t>
      </w:r>
      <w:r w:rsidR="009F0955" w:rsidRPr="009F0955">
        <w:rPr>
          <w:rFonts w:ascii="Arial Narrow" w:hAnsi="Arial Narrow"/>
        </w:rPr>
        <w:lastRenderedPageBreak/>
        <w:t>corporate officials whose companies have committed fraud.”</w:t>
      </w:r>
      <w:r w:rsidR="009F0955" w:rsidRPr="009F0955">
        <w:rPr>
          <w:rStyle w:val="FootnoteReference"/>
          <w:rFonts w:ascii="Arial Narrow" w:hAnsi="Arial Narrow"/>
        </w:rPr>
        <w:footnoteReference w:id="5"/>
      </w:r>
      <w:r w:rsidR="00A740BC">
        <w:rPr>
          <w:rFonts w:ascii="Arial Narrow" w:hAnsi="Arial Narrow"/>
        </w:rPr>
        <w:t xml:space="preserve"> OIG has published guidance on its use of its permissive exclusion authority, </w:t>
      </w:r>
      <w:r w:rsidR="009F0955" w:rsidRPr="009F0955">
        <w:rPr>
          <w:rFonts w:ascii="Arial Narrow" w:hAnsi="Arial Narrow"/>
        </w:rPr>
        <w:t>stat</w:t>
      </w:r>
      <w:r w:rsidR="00A740BC">
        <w:rPr>
          <w:rFonts w:ascii="Arial Narrow" w:hAnsi="Arial Narrow"/>
        </w:rPr>
        <w:t>ing</w:t>
      </w:r>
      <w:r w:rsidR="009F0955" w:rsidRPr="009F0955">
        <w:rPr>
          <w:rFonts w:ascii="Arial Narrow" w:hAnsi="Arial Narrow"/>
        </w:rPr>
        <w:t xml:space="preserve"> that it will apply a rebuttable presumption for exclusion of corporate officials where there is “evidence that the individual knew or should have known” of the illegal conduct.</w:t>
      </w:r>
      <w:r w:rsidR="009F0955" w:rsidRPr="009F0955">
        <w:rPr>
          <w:rStyle w:val="FootnoteReference"/>
          <w:rFonts w:ascii="Arial Narrow" w:hAnsi="Arial Narrow"/>
        </w:rPr>
        <w:footnoteReference w:id="6"/>
      </w:r>
      <w:r w:rsidR="009F0955" w:rsidRPr="009F0955">
        <w:rPr>
          <w:rFonts w:ascii="Arial Narrow" w:hAnsi="Arial Narrow"/>
        </w:rPr>
        <w:t xml:space="preserve"> In assessing the significant factors that weigh against the presumption of exclusion, the HHS OIG stated that it will consider: (1) the circumstances and seriousness of the sanctioned conduct; (2) the individual’s role at the sanctioned entity</w:t>
      </w:r>
      <w:r w:rsidR="00373F24">
        <w:rPr>
          <w:rFonts w:ascii="Arial Narrow" w:hAnsi="Arial Narrow"/>
        </w:rPr>
        <w:t xml:space="preserve"> (is</w:t>
      </w:r>
      <w:r w:rsidR="00373F24" w:rsidRPr="00373F24">
        <w:rPr>
          <w:rFonts w:ascii="Arial Narrow" w:hAnsi="Arial Narrow"/>
        </w:rPr>
        <w:t xml:space="preserve"> the individual </w:t>
      </w:r>
      <w:r w:rsidR="006E37FA" w:rsidRPr="00373F24">
        <w:rPr>
          <w:rFonts w:ascii="Arial Narrow" w:hAnsi="Arial Narrow"/>
        </w:rPr>
        <w:t xml:space="preserve">general manager, business manager, administrator or director </w:t>
      </w:r>
      <w:r w:rsidR="006E37FA" w:rsidRPr="00373F24">
        <w:rPr>
          <w:rFonts w:ascii="Arial Narrow" w:hAnsi="Arial Narrow"/>
          <w:bCs/>
        </w:rPr>
        <w:t xml:space="preserve">who exercises operational or managerial control </w:t>
      </w:r>
      <w:r w:rsidR="006E37FA" w:rsidRPr="00373F24">
        <w:rPr>
          <w:rFonts w:ascii="Arial Narrow" w:hAnsi="Arial Narrow"/>
        </w:rPr>
        <w:t xml:space="preserve">over the entity, or who </w:t>
      </w:r>
      <w:r w:rsidR="006E37FA" w:rsidRPr="00373F24">
        <w:rPr>
          <w:rFonts w:ascii="Arial Narrow" w:hAnsi="Arial Narrow"/>
          <w:bCs/>
        </w:rPr>
        <w:t xml:space="preserve">directly or indirectly conducts the day to day operations </w:t>
      </w:r>
      <w:r w:rsidR="006E37FA" w:rsidRPr="00373F24">
        <w:rPr>
          <w:rFonts w:ascii="Arial Narrow" w:hAnsi="Arial Narrow"/>
        </w:rPr>
        <w:t>of the entity</w:t>
      </w:r>
      <w:r w:rsidR="00373F24">
        <w:rPr>
          <w:rFonts w:ascii="Arial Narrow" w:hAnsi="Arial Narrow"/>
        </w:rPr>
        <w:t xml:space="preserve">?); </w:t>
      </w:r>
      <w:r w:rsidR="009F0955" w:rsidRPr="009F0955">
        <w:rPr>
          <w:rFonts w:ascii="Arial Narrow" w:hAnsi="Arial Narrow"/>
        </w:rPr>
        <w:t>(3) the individual’s actions in response to the misconduct; and (4) other relevant information about the entity.</w:t>
      </w:r>
      <w:r w:rsidR="009F0955" w:rsidRPr="009F0955">
        <w:rPr>
          <w:rStyle w:val="FootnoteReference"/>
          <w:rFonts w:ascii="Arial Narrow" w:hAnsi="Arial Narrow"/>
        </w:rPr>
        <w:footnoteReference w:id="7"/>
      </w:r>
    </w:p>
    <w:p w14:paraId="615BA97F" w14:textId="6AB982C7" w:rsidR="000E1192" w:rsidRDefault="00CD4E78" w:rsidP="00A619A6">
      <w:pPr>
        <w:spacing w:line="480" w:lineRule="auto"/>
        <w:ind w:firstLine="720"/>
        <w:rPr>
          <w:rFonts w:ascii="Arial Narrow" w:hAnsi="Arial Narrow"/>
        </w:rPr>
      </w:pPr>
      <w:r>
        <w:rPr>
          <w:rFonts w:ascii="Arial Narrow" w:hAnsi="Arial Narrow"/>
        </w:rPr>
        <w:t>R</w:t>
      </w:r>
      <w:r w:rsidR="00114E97">
        <w:rPr>
          <w:rFonts w:ascii="Arial Narrow" w:hAnsi="Arial Narrow"/>
        </w:rPr>
        <w:t>ecent trends demonstrate a movement towards ownership and senior executive responsibility and accountability</w:t>
      </w:r>
      <w:r w:rsidR="000A0459">
        <w:rPr>
          <w:rFonts w:ascii="Arial Narrow" w:hAnsi="Arial Narrow"/>
        </w:rPr>
        <w:t>, and driving compliance through organizations financial incentives</w:t>
      </w:r>
      <w:r w:rsidR="00114E97">
        <w:rPr>
          <w:rFonts w:ascii="Arial Narrow" w:hAnsi="Arial Narrow"/>
        </w:rPr>
        <w:t xml:space="preserve"> – trend</w:t>
      </w:r>
      <w:r w:rsidR="000A0459">
        <w:rPr>
          <w:rFonts w:ascii="Arial Narrow" w:hAnsi="Arial Narrow"/>
        </w:rPr>
        <w:t>s</w:t>
      </w:r>
      <w:r w:rsidR="00114E97">
        <w:rPr>
          <w:rFonts w:ascii="Arial Narrow" w:hAnsi="Arial Narrow"/>
        </w:rPr>
        <w:t xml:space="preserve"> with significant implications for companies and their compliance programs. </w:t>
      </w:r>
      <w:r w:rsidR="00EE5F1C">
        <w:rPr>
          <w:rFonts w:ascii="Arial Narrow" w:hAnsi="Arial Narrow"/>
        </w:rPr>
        <w:t xml:space="preserve">The intent of </w:t>
      </w:r>
      <w:r w:rsidR="000A0459">
        <w:rPr>
          <w:rFonts w:ascii="Arial Narrow" w:hAnsi="Arial Narrow"/>
        </w:rPr>
        <w:t>this</w:t>
      </w:r>
      <w:r w:rsidR="00644BF1">
        <w:rPr>
          <w:rFonts w:ascii="Arial Narrow" w:hAnsi="Arial Narrow"/>
        </w:rPr>
        <w:t xml:space="preserve"> focus on individual accountability is to incentivize </w:t>
      </w:r>
      <w:r w:rsidR="00660F5D">
        <w:rPr>
          <w:rFonts w:ascii="Arial Narrow" w:hAnsi="Arial Narrow"/>
        </w:rPr>
        <w:t>ownership and senior executive management t</w:t>
      </w:r>
      <w:r w:rsidR="00644BF1">
        <w:rPr>
          <w:rFonts w:ascii="Arial Narrow" w:hAnsi="Arial Narrow"/>
        </w:rPr>
        <w:t xml:space="preserve">o </w:t>
      </w:r>
      <w:r w:rsidR="00660F5D">
        <w:rPr>
          <w:rFonts w:ascii="Arial Narrow" w:hAnsi="Arial Narrow"/>
        </w:rPr>
        <w:t xml:space="preserve">take more responsibility for </w:t>
      </w:r>
      <w:r w:rsidR="00644BF1">
        <w:rPr>
          <w:rFonts w:ascii="Arial Narrow" w:hAnsi="Arial Narrow"/>
        </w:rPr>
        <w:t>actively manag</w:t>
      </w:r>
      <w:r w:rsidR="00660F5D">
        <w:rPr>
          <w:rFonts w:ascii="Arial Narrow" w:hAnsi="Arial Narrow"/>
        </w:rPr>
        <w:t>ing</w:t>
      </w:r>
      <w:r w:rsidR="00644BF1">
        <w:rPr>
          <w:rFonts w:ascii="Arial Narrow" w:hAnsi="Arial Narrow"/>
        </w:rPr>
        <w:t xml:space="preserve"> their </w:t>
      </w:r>
      <w:r w:rsidR="00EE5F1C">
        <w:rPr>
          <w:rFonts w:ascii="Arial Narrow" w:hAnsi="Arial Narrow"/>
        </w:rPr>
        <w:t xml:space="preserve">areas of responsibility for </w:t>
      </w:r>
      <w:r w:rsidR="00644BF1">
        <w:rPr>
          <w:rFonts w:ascii="Arial Narrow" w:hAnsi="Arial Narrow"/>
        </w:rPr>
        <w:t>compliance with the law</w:t>
      </w:r>
      <w:r w:rsidR="00660F5D">
        <w:rPr>
          <w:rFonts w:ascii="Arial Narrow" w:hAnsi="Arial Narrow"/>
        </w:rPr>
        <w:t xml:space="preserve">. </w:t>
      </w:r>
      <w:r w:rsidR="000E1192">
        <w:rPr>
          <w:rFonts w:ascii="Arial Narrow" w:hAnsi="Arial Narrow"/>
        </w:rPr>
        <w:t>While there are significant drawbacks for individuals, and by association, companies, t</w:t>
      </w:r>
      <w:r w:rsidR="00644BF1">
        <w:rPr>
          <w:rFonts w:ascii="Arial Narrow" w:hAnsi="Arial Narrow"/>
        </w:rPr>
        <w:t xml:space="preserve">his approach should </w:t>
      </w:r>
      <w:r w:rsidR="000E1192">
        <w:rPr>
          <w:rFonts w:ascii="Arial Narrow" w:hAnsi="Arial Narrow"/>
        </w:rPr>
        <w:t xml:space="preserve">and has </w:t>
      </w:r>
      <w:r w:rsidR="00644BF1">
        <w:rPr>
          <w:rFonts w:ascii="Arial Narrow" w:hAnsi="Arial Narrow"/>
        </w:rPr>
        <w:t>support</w:t>
      </w:r>
      <w:r w:rsidR="000E1192">
        <w:rPr>
          <w:rFonts w:ascii="Arial Narrow" w:hAnsi="Arial Narrow"/>
        </w:rPr>
        <w:t>ed</w:t>
      </w:r>
      <w:r w:rsidR="00644BF1">
        <w:rPr>
          <w:rFonts w:ascii="Arial Narrow" w:hAnsi="Arial Narrow"/>
        </w:rPr>
        <w:t xml:space="preserve"> the </w:t>
      </w:r>
      <w:r w:rsidR="00644BF1">
        <w:rPr>
          <w:rFonts w:ascii="Arial Narrow" w:hAnsi="Arial Narrow"/>
        </w:rPr>
        <w:lastRenderedPageBreak/>
        <w:t xml:space="preserve">work of </w:t>
      </w:r>
      <w:r w:rsidR="00660F5D">
        <w:rPr>
          <w:rFonts w:ascii="Arial Narrow" w:hAnsi="Arial Narrow"/>
        </w:rPr>
        <w:t xml:space="preserve">in-house </w:t>
      </w:r>
      <w:r w:rsidR="00644BF1">
        <w:rPr>
          <w:rFonts w:ascii="Arial Narrow" w:hAnsi="Arial Narrow"/>
        </w:rPr>
        <w:t>legal counsel and compliance officers</w:t>
      </w:r>
      <w:r w:rsidR="000E1192">
        <w:rPr>
          <w:rFonts w:ascii="Arial Narrow" w:hAnsi="Arial Narrow"/>
        </w:rPr>
        <w:t xml:space="preserve"> from the standpoint that it has made t</w:t>
      </w:r>
      <w:r w:rsidR="00644BF1">
        <w:rPr>
          <w:rFonts w:ascii="Arial Narrow" w:hAnsi="Arial Narrow"/>
        </w:rPr>
        <w:t xml:space="preserve">heir </w:t>
      </w:r>
      <w:r w:rsidR="00660F5D">
        <w:rPr>
          <w:rFonts w:ascii="Arial Narrow" w:hAnsi="Arial Narrow"/>
        </w:rPr>
        <w:t>efforts</w:t>
      </w:r>
      <w:r w:rsidR="00644BF1">
        <w:rPr>
          <w:rFonts w:ascii="Arial Narrow" w:hAnsi="Arial Narrow"/>
        </w:rPr>
        <w:t xml:space="preserve"> to support compliance in their organizations easier. </w:t>
      </w:r>
      <w:r w:rsidR="00D477C3">
        <w:rPr>
          <w:rFonts w:ascii="Arial Narrow" w:hAnsi="Arial Narrow"/>
        </w:rPr>
        <w:t xml:space="preserve">In many cases </w:t>
      </w:r>
      <w:r w:rsidR="00660F5D">
        <w:rPr>
          <w:rFonts w:ascii="Arial Narrow" w:hAnsi="Arial Narrow"/>
        </w:rPr>
        <w:t>-</w:t>
      </w:r>
      <w:r w:rsidR="00D477C3">
        <w:rPr>
          <w:rFonts w:ascii="Arial Narrow" w:hAnsi="Arial Narrow"/>
        </w:rPr>
        <w:t xml:space="preserve"> particularly those involving settlement agreements and routine government oversight</w:t>
      </w:r>
      <w:r w:rsidR="00660F5D">
        <w:rPr>
          <w:rFonts w:ascii="Arial Narrow" w:hAnsi="Arial Narrow"/>
        </w:rPr>
        <w:t xml:space="preserve"> - </w:t>
      </w:r>
      <w:r w:rsidR="00D477C3">
        <w:rPr>
          <w:rFonts w:ascii="Arial Narrow" w:hAnsi="Arial Narrow"/>
        </w:rPr>
        <w:t xml:space="preserve">this </w:t>
      </w:r>
      <w:r w:rsidR="000E1192">
        <w:rPr>
          <w:rFonts w:ascii="Arial Narrow" w:hAnsi="Arial Narrow"/>
        </w:rPr>
        <w:t>has been particularly true</w:t>
      </w:r>
      <w:r w:rsidR="00D477C3">
        <w:rPr>
          <w:rFonts w:ascii="Arial Narrow" w:hAnsi="Arial Narrow"/>
        </w:rPr>
        <w:t>. However</w:t>
      </w:r>
      <w:r w:rsidR="008234A6">
        <w:rPr>
          <w:rFonts w:ascii="Arial Narrow" w:hAnsi="Arial Narrow"/>
        </w:rPr>
        <w:t>,</w:t>
      </w:r>
      <w:r w:rsidR="00D477C3">
        <w:rPr>
          <w:rFonts w:ascii="Arial Narrow" w:hAnsi="Arial Narrow"/>
        </w:rPr>
        <w:t xml:space="preserve"> </w:t>
      </w:r>
      <w:r w:rsidR="000E1192">
        <w:rPr>
          <w:rFonts w:ascii="Arial Narrow" w:hAnsi="Arial Narrow"/>
        </w:rPr>
        <w:t xml:space="preserve">a word of caution - </w:t>
      </w:r>
      <w:r w:rsidR="0015771A">
        <w:rPr>
          <w:rFonts w:ascii="Arial Narrow" w:hAnsi="Arial Narrow"/>
        </w:rPr>
        <w:t xml:space="preserve">when </w:t>
      </w:r>
      <w:r w:rsidR="000E1192">
        <w:rPr>
          <w:rFonts w:ascii="Arial Narrow" w:hAnsi="Arial Narrow"/>
        </w:rPr>
        <w:t xml:space="preserve">these trends are </w:t>
      </w:r>
      <w:r w:rsidR="0015771A">
        <w:rPr>
          <w:rFonts w:ascii="Arial Narrow" w:hAnsi="Arial Narrow"/>
        </w:rPr>
        <w:t xml:space="preserve">not addressed appropriately </w:t>
      </w:r>
      <w:r w:rsidR="000E1192">
        <w:rPr>
          <w:rFonts w:ascii="Arial Narrow" w:hAnsi="Arial Narrow"/>
        </w:rPr>
        <w:t>they</w:t>
      </w:r>
      <w:r w:rsidR="0015771A">
        <w:rPr>
          <w:rFonts w:ascii="Arial Narrow" w:hAnsi="Arial Narrow"/>
        </w:rPr>
        <w:t xml:space="preserve"> </w:t>
      </w:r>
      <w:r w:rsidR="00660F5D">
        <w:rPr>
          <w:rFonts w:ascii="Arial Narrow" w:hAnsi="Arial Narrow"/>
        </w:rPr>
        <w:t xml:space="preserve">can </w:t>
      </w:r>
      <w:r w:rsidR="0015771A">
        <w:rPr>
          <w:rFonts w:ascii="Arial Narrow" w:hAnsi="Arial Narrow"/>
        </w:rPr>
        <w:t>create</w:t>
      </w:r>
      <w:r w:rsidR="00660F5D">
        <w:rPr>
          <w:rFonts w:ascii="Arial Narrow" w:hAnsi="Arial Narrow"/>
        </w:rPr>
        <w:t xml:space="preserve"> significant challenges </w:t>
      </w:r>
      <w:r w:rsidR="000E1192">
        <w:rPr>
          <w:rFonts w:ascii="Arial Narrow" w:hAnsi="Arial Narrow"/>
        </w:rPr>
        <w:t xml:space="preserve">for in-house counsel and compliance officers, and their companies </w:t>
      </w:r>
      <w:r w:rsidR="00660F5D">
        <w:rPr>
          <w:rFonts w:ascii="Arial Narrow" w:hAnsi="Arial Narrow"/>
        </w:rPr>
        <w:t xml:space="preserve">as well. </w:t>
      </w:r>
    </w:p>
    <w:p w14:paraId="2CBC11FD" w14:textId="799FD5CE" w:rsidR="008234A6" w:rsidRDefault="000E1192" w:rsidP="00A619A6">
      <w:pPr>
        <w:spacing w:line="480" w:lineRule="auto"/>
        <w:ind w:firstLine="720"/>
        <w:rPr>
          <w:rFonts w:ascii="Arial Narrow" w:hAnsi="Arial Narrow"/>
        </w:rPr>
      </w:pPr>
      <w:r>
        <w:rPr>
          <w:rFonts w:ascii="Arial Narrow" w:hAnsi="Arial Narrow"/>
        </w:rPr>
        <w:t>For in-house counsel and compliance officers, the trend for individual liability must be taken serious</w:t>
      </w:r>
      <w:r w:rsidR="004D4F76">
        <w:rPr>
          <w:rFonts w:ascii="Arial Narrow" w:hAnsi="Arial Narrow"/>
        </w:rPr>
        <w:t>ly</w:t>
      </w:r>
      <w:r>
        <w:rPr>
          <w:rFonts w:ascii="Arial Narrow" w:hAnsi="Arial Narrow"/>
        </w:rPr>
        <w:t xml:space="preserve"> and personally. </w:t>
      </w:r>
      <w:r w:rsidR="00BC3283">
        <w:rPr>
          <w:rFonts w:ascii="Arial Narrow" w:hAnsi="Arial Narrow"/>
        </w:rPr>
        <w:t xml:space="preserve">As key leaders and advisors we must take the actions appropriate to protect our companies from illegal conduct and its owners and managers from liability. </w:t>
      </w:r>
      <w:r>
        <w:rPr>
          <w:rFonts w:ascii="Arial Narrow" w:hAnsi="Arial Narrow"/>
        </w:rPr>
        <w:t>T</w:t>
      </w:r>
      <w:r w:rsidR="00644BF1">
        <w:rPr>
          <w:rFonts w:ascii="Arial Narrow" w:hAnsi="Arial Narrow"/>
        </w:rPr>
        <w:t>h</w:t>
      </w:r>
      <w:r w:rsidR="00D477C3">
        <w:rPr>
          <w:rFonts w:ascii="Arial Narrow" w:hAnsi="Arial Narrow"/>
        </w:rPr>
        <w:t>e</w:t>
      </w:r>
      <w:r w:rsidR="00644BF1">
        <w:rPr>
          <w:rFonts w:ascii="Arial Narrow" w:hAnsi="Arial Narrow"/>
        </w:rPr>
        <w:t xml:space="preserve"> </w:t>
      </w:r>
      <w:r w:rsidR="0015771A">
        <w:rPr>
          <w:rFonts w:ascii="Arial Narrow" w:hAnsi="Arial Narrow"/>
        </w:rPr>
        <w:t>laws supporting i</w:t>
      </w:r>
      <w:r w:rsidR="00D477C3">
        <w:rPr>
          <w:rFonts w:ascii="Arial Narrow" w:hAnsi="Arial Narrow"/>
        </w:rPr>
        <w:t xml:space="preserve">ndividual responsibility </w:t>
      </w:r>
      <w:r>
        <w:rPr>
          <w:rFonts w:ascii="Arial Narrow" w:hAnsi="Arial Narrow"/>
        </w:rPr>
        <w:t xml:space="preserve">don’t apply just to business management; they </w:t>
      </w:r>
      <w:r w:rsidR="00644BF1">
        <w:rPr>
          <w:rFonts w:ascii="Arial Narrow" w:hAnsi="Arial Narrow"/>
        </w:rPr>
        <w:t xml:space="preserve">can </w:t>
      </w:r>
      <w:r w:rsidR="00373F24">
        <w:rPr>
          <w:rFonts w:ascii="Arial Narrow" w:hAnsi="Arial Narrow"/>
        </w:rPr>
        <w:t xml:space="preserve">apply to </w:t>
      </w:r>
      <w:r w:rsidR="00BC3283">
        <w:rPr>
          <w:rFonts w:ascii="Arial Narrow" w:hAnsi="Arial Narrow"/>
        </w:rPr>
        <w:t xml:space="preserve">functional management as well, including </w:t>
      </w:r>
      <w:r w:rsidR="00373F24">
        <w:rPr>
          <w:rFonts w:ascii="Arial Narrow" w:hAnsi="Arial Narrow"/>
        </w:rPr>
        <w:t>in-house counsel and compliance officers</w:t>
      </w:r>
      <w:r>
        <w:rPr>
          <w:rFonts w:ascii="Arial Narrow" w:hAnsi="Arial Narrow"/>
        </w:rPr>
        <w:t>.</w:t>
      </w:r>
      <w:r w:rsidR="00373F24">
        <w:rPr>
          <w:rFonts w:ascii="Arial Narrow" w:hAnsi="Arial Narrow"/>
        </w:rPr>
        <w:t xml:space="preserve"> </w:t>
      </w:r>
      <w:r w:rsidR="00660F5D">
        <w:rPr>
          <w:rFonts w:ascii="Arial Narrow" w:hAnsi="Arial Narrow"/>
        </w:rPr>
        <w:t xml:space="preserve">While there have been </w:t>
      </w:r>
      <w:r w:rsidR="000A0459">
        <w:rPr>
          <w:rFonts w:ascii="Arial Narrow" w:hAnsi="Arial Narrow"/>
        </w:rPr>
        <w:t>few</w:t>
      </w:r>
      <w:r w:rsidR="00660F5D">
        <w:rPr>
          <w:rFonts w:ascii="Arial Narrow" w:hAnsi="Arial Narrow"/>
        </w:rPr>
        <w:t xml:space="preserve"> published instances </w:t>
      </w:r>
      <w:r>
        <w:rPr>
          <w:rFonts w:ascii="Arial Narrow" w:hAnsi="Arial Narrow"/>
        </w:rPr>
        <w:t xml:space="preserve">where DOJ or OIG have sought to penalize </w:t>
      </w:r>
      <w:r w:rsidR="00E403B5">
        <w:rPr>
          <w:rFonts w:ascii="Arial Narrow" w:hAnsi="Arial Narrow"/>
        </w:rPr>
        <w:t>an</w:t>
      </w:r>
      <w:r>
        <w:rPr>
          <w:rFonts w:ascii="Arial Narrow" w:hAnsi="Arial Narrow"/>
        </w:rPr>
        <w:t xml:space="preserve"> in-house counsel or compliance officer</w:t>
      </w:r>
      <w:r w:rsidR="00BC3283">
        <w:rPr>
          <w:rFonts w:ascii="Arial Narrow" w:hAnsi="Arial Narrow"/>
        </w:rPr>
        <w:t>s</w:t>
      </w:r>
      <w:r>
        <w:rPr>
          <w:rFonts w:ascii="Arial Narrow" w:hAnsi="Arial Narrow"/>
        </w:rPr>
        <w:t xml:space="preserve"> in </w:t>
      </w:r>
      <w:r w:rsidR="001A3306">
        <w:rPr>
          <w:rFonts w:ascii="Arial Narrow" w:hAnsi="Arial Narrow"/>
        </w:rPr>
        <w:t xml:space="preserve">the </w:t>
      </w:r>
      <w:r w:rsidR="000A0459">
        <w:rPr>
          <w:rFonts w:ascii="Arial Narrow" w:hAnsi="Arial Narrow"/>
        </w:rPr>
        <w:t>health care are</w:t>
      </w:r>
      <w:r w:rsidR="001A3306">
        <w:rPr>
          <w:rFonts w:ascii="Arial Narrow" w:hAnsi="Arial Narrow"/>
        </w:rPr>
        <w:t xml:space="preserve">a, there have been a limited number of cases, and the liability principles </w:t>
      </w:r>
      <w:r w:rsidR="004B47D3">
        <w:rPr>
          <w:rFonts w:ascii="Arial Narrow" w:hAnsi="Arial Narrow"/>
        </w:rPr>
        <w:t xml:space="preserve">noted above </w:t>
      </w:r>
      <w:r w:rsidR="001A3306">
        <w:rPr>
          <w:rFonts w:ascii="Arial Narrow" w:hAnsi="Arial Narrow"/>
        </w:rPr>
        <w:t xml:space="preserve">apply. </w:t>
      </w:r>
    </w:p>
    <w:p w14:paraId="497D7D08" w14:textId="587E88CD" w:rsidR="006E7539" w:rsidRDefault="00971E8F" w:rsidP="00A619A6">
      <w:pPr>
        <w:spacing w:line="480" w:lineRule="auto"/>
        <w:ind w:firstLine="720"/>
        <w:rPr>
          <w:rFonts w:ascii="Arial Narrow" w:hAnsi="Arial Narrow"/>
        </w:rPr>
      </w:pPr>
      <w:r>
        <w:rPr>
          <w:rFonts w:ascii="Arial Narrow" w:hAnsi="Arial Narrow" w:cs="Arial"/>
          <w:color w:val="1A1A1A"/>
        </w:rPr>
        <w:t xml:space="preserve">To address challenges in maintaining compliance, and </w:t>
      </w:r>
      <w:r w:rsidR="000A0459">
        <w:rPr>
          <w:rFonts w:ascii="Arial Narrow" w:hAnsi="Arial Narrow" w:cs="Arial"/>
          <w:color w:val="1A1A1A"/>
        </w:rPr>
        <w:t xml:space="preserve">to </w:t>
      </w:r>
      <w:r>
        <w:rPr>
          <w:rFonts w:ascii="Arial Narrow" w:hAnsi="Arial Narrow" w:cs="Arial"/>
          <w:color w:val="1A1A1A"/>
        </w:rPr>
        <w:t xml:space="preserve">reduce their own anxiety as well, many </w:t>
      </w:r>
      <w:r w:rsidR="00C151F5">
        <w:rPr>
          <w:rFonts w:ascii="Arial Narrow" w:hAnsi="Arial Narrow" w:cs="Arial"/>
          <w:color w:val="1A1A1A"/>
        </w:rPr>
        <w:t xml:space="preserve">companies, their </w:t>
      </w:r>
      <w:r>
        <w:rPr>
          <w:rFonts w:ascii="Arial Narrow" w:hAnsi="Arial Narrow" w:cs="Arial"/>
          <w:color w:val="1A1A1A"/>
        </w:rPr>
        <w:t>in-house attorneys and compliance officer</w:t>
      </w:r>
      <w:r w:rsidR="00C151F5">
        <w:rPr>
          <w:rFonts w:ascii="Arial Narrow" w:hAnsi="Arial Narrow" w:cs="Arial"/>
          <w:color w:val="1A1A1A"/>
        </w:rPr>
        <w:t>s</w:t>
      </w:r>
      <w:r>
        <w:rPr>
          <w:rFonts w:ascii="Arial Narrow" w:hAnsi="Arial Narrow" w:cs="Arial"/>
          <w:color w:val="1A1A1A"/>
        </w:rPr>
        <w:t xml:space="preserve"> </w:t>
      </w:r>
      <w:r w:rsidR="000A0459">
        <w:rPr>
          <w:rFonts w:ascii="Arial Narrow" w:hAnsi="Arial Narrow" w:cs="Arial"/>
          <w:color w:val="1A1A1A"/>
        </w:rPr>
        <w:t>have</w:t>
      </w:r>
      <w:r>
        <w:rPr>
          <w:rFonts w:ascii="Arial Narrow" w:hAnsi="Arial Narrow" w:cs="Arial"/>
          <w:color w:val="1A1A1A"/>
        </w:rPr>
        <w:t xml:space="preserve"> s</w:t>
      </w:r>
      <w:r w:rsidR="000A0459">
        <w:rPr>
          <w:rFonts w:ascii="Arial Narrow" w:hAnsi="Arial Narrow" w:cs="Arial"/>
          <w:color w:val="1A1A1A"/>
        </w:rPr>
        <w:t>ought</w:t>
      </w:r>
      <w:r>
        <w:rPr>
          <w:rFonts w:ascii="Arial Narrow" w:hAnsi="Arial Narrow" w:cs="Arial"/>
          <w:color w:val="1A1A1A"/>
        </w:rPr>
        <w:t xml:space="preserve"> to </w:t>
      </w:r>
      <w:r w:rsidR="000A0459">
        <w:rPr>
          <w:rFonts w:ascii="Arial Narrow" w:hAnsi="Arial Narrow" w:cs="Arial"/>
          <w:color w:val="1A1A1A"/>
        </w:rPr>
        <w:t>raise the level of involvement of the legal and compliance functions in key business process</w:t>
      </w:r>
      <w:r w:rsidR="00EC4AFF">
        <w:rPr>
          <w:rFonts w:ascii="Arial Narrow" w:hAnsi="Arial Narrow" w:cs="Arial"/>
          <w:color w:val="1A1A1A"/>
        </w:rPr>
        <w:t>es</w:t>
      </w:r>
      <w:r w:rsidR="000A0459">
        <w:rPr>
          <w:rFonts w:ascii="Arial Narrow" w:hAnsi="Arial Narrow" w:cs="Arial"/>
          <w:color w:val="1A1A1A"/>
        </w:rPr>
        <w:t xml:space="preserve"> susceptible to compliance failures.</w:t>
      </w:r>
      <w:r w:rsidR="00354E69">
        <w:rPr>
          <w:rFonts w:ascii="Arial Narrow" w:hAnsi="Arial Narrow"/>
        </w:rPr>
        <w:t xml:space="preserve"> In many cases </w:t>
      </w:r>
      <w:r w:rsidR="006E7539">
        <w:rPr>
          <w:rFonts w:ascii="Arial Narrow" w:hAnsi="Arial Narrow"/>
        </w:rPr>
        <w:t>this means more staff. T</w:t>
      </w:r>
      <w:r w:rsidR="000A0459">
        <w:rPr>
          <w:rFonts w:ascii="Arial Narrow" w:hAnsi="Arial Narrow"/>
        </w:rPr>
        <w:t xml:space="preserve">hese </w:t>
      </w:r>
      <w:r w:rsidR="00C151F5">
        <w:rPr>
          <w:rFonts w:ascii="Arial Narrow" w:hAnsi="Arial Narrow"/>
        </w:rPr>
        <w:t>additional resources are</w:t>
      </w:r>
      <w:r w:rsidR="00354E69">
        <w:rPr>
          <w:rFonts w:ascii="Arial Narrow" w:hAnsi="Arial Narrow"/>
        </w:rPr>
        <w:t xml:space="preserve"> </w:t>
      </w:r>
      <w:r w:rsidR="006E7539">
        <w:rPr>
          <w:rFonts w:ascii="Arial Narrow" w:hAnsi="Arial Narrow"/>
        </w:rPr>
        <w:t xml:space="preserve">often </w:t>
      </w:r>
      <w:r w:rsidR="00354E69">
        <w:rPr>
          <w:rFonts w:ascii="Arial Narrow" w:hAnsi="Arial Narrow"/>
        </w:rPr>
        <w:t xml:space="preserve">entirely needed and appropriate. </w:t>
      </w:r>
      <w:r>
        <w:rPr>
          <w:rFonts w:ascii="Arial Narrow" w:hAnsi="Arial Narrow"/>
        </w:rPr>
        <w:t xml:space="preserve">Many companies, particularly </w:t>
      </w:r>
      <w:r w:rsidR="00C151F5">
        <w:rPr>
          <w:rFonts w:ascii="Arial Narrow" w:hAnsi="Arial Narrow"/>
        </w:rPr>
        <w:t xml:space="preserve">companies with new </w:t>
      </w:r>
      <w:r w:rsidR="000A0459">
        <w:rPr>
          <w:rFonts w:ascii="Arial Narrow" w:hAnsi="Arial Narrow"/>
        </w:rPr>
        <w:t xml:space="preserve">in-house </w:t>
      </w:r>
      <w:r w:rsidR="00C151F5">
        <w:rPr>
          <w:rFonts w:ascii="Arial Narrow" w:hAnsi="Arial Narrow"/>
        </w:rPr>
        <w:t xml:space="preserve">functions, or who are growing quickly, or who are </w:t>
      </w:r>
      <w:r>
        <w:rPr>
          <w:rFonts w:ascii="Arial Narrow" w:hAnsi="Arial Narrow"/>
        </w:rPr>
        <w:t>faced with pending government settlement</w:t>
      </w:r>
      <w:r w:rsidR="000A0459">
        <w:rPr>
          <w:rFonts w:ascii="Arial Narrow" w:hAnsi="Arial Narrow"/>
        </w:rPr>
        <w:t>s</w:t>
      </w:r>
      <w:r>
        <w:rPr>
          <w:rFonts w:ascii="Arial Narrow" w:hAnsi="Arial Narrow"/>
        </w:rPr>
        <w:t xml:space="preserve">, need additional staff to function appropriately. </w:t>
      </w:r>
      <w:r w:rsidR="00354E69">
        <w:rPr>
          <w:rFonts w:ascii="Arial Narrow" w:hAnsi="Arial Narrow"/>
        </w:rPr>
        <w:t xml:space="preserve">History shows </w:t>
      </w:r>
      <w:r w:rsidR="00CD4E78">
        <w:rPr>
          <w:rFonts w:ascii="Arial Narrow" w:hAnsi="Arial Narrow"/>
        </w:rPr>
        <w:t>some in-house</w:t>
      </w:r>
      <w:r w:rsidR="00354E69">
        <w:rPr>
          <w:rFonts w:ascii="Arial Narrow" w:hAnsi="Arial Narrow"/>
        </w:rPr>
        <w:t xml:space="preserve"> legal and compliance functions lack the staffing that they need to be fully effective until a crisis arises. </w:t>
      </w:r>
      <w:r w:rsidR="00812622">
        <w:rPr>
          <w:rFonts w:ascii="Arial Narrow" w:hAnsi="Arial Narrow"/>
        </w:rPr>
        <w:t xml:space="preserve">Skilled attorneys and compliance professionals are needed </w:t>
      </w:r>
      <w:r w:rsidR="006040D2">
        <w:rPr>
          <w:rFonts w:ascii="Arial Narrow" w:hAnsi="Arial Narrow"/>
        </w:rPr>
        <w:t>provide owners, managers and employees with</w:t>
      </w:r>
      <w:r w:rsidR="00812622">
        <w:rPr>
          <w:rFonts w:ascii="Arial Narrow" w:hAnsi="Arial Narrow"/>
        </w:rPr>
        <w:t xml:space="preserve"> sufficient </w:t>
      </w:r>
      <w:r w:rsidR="000B69CE">
        <w:rPr>
          <w:rFonts w:ascii="Arial Narrow" w:hAnsi="Arial Narrow"/>
        </w:rPr>
        <w:t xml:space="preserve">advice, </w:t>
      </w:r>
      <w:r w:rsidR="00812622">
        <w:rPr>
          <w:rFonts w:ascii="Arial Narrow" w:hAnsi="Arial Narrow"/>
        </w:rPr>
        <w:t xml:space="preserve">knowledge </w:t>
      </w:r>
      <w:r w:rsidR="000B69CE">
        <w:rPr>
          <w:rFonts w:ascii="Arial Narrow" w:hAnsi="Arial Narrow"/>
        </w:rPr>
        <w:t xml:space="preserve">and understanding </w:t>
      </w:r>
      <w:r w:rsidR="00812622">
        <w:rPr>
          <w:rFonts w:ascii="Arial Narrow" w:hAnsi="Arial Narrow"/>
        </w:rPr>
        <w:t xml:space="preserve">of often complex and constantly evolving laws and regulatory requirements, to </w:t>
      </w:r>
      <w:r w:rsidR="000B69CE">
        <w:rPr>
          <w:rFonts w:ascii="Arial Narrow" w:hAnsi="Arial Narrow"/>
        </w:rPr>
        <w:t xml:space="preserve">advise on properly implementing </w:t>
      </w:r>
      <w:r w:rsidR="00812622">
        <w:rPr>
          <w:rFonts w:ascii="Arial Narrow" w:hAnsi="Arial Narrow"/>
        </w:rPr>
        <w:t xml:space="preserve">those requirements are </w:t>
      </w:r>
      <w:r w:rsidR="000B69CE">
        <w:rPr>
          <w:rFonts w:ascii="Arial Narrow" w:hAnsi="Arial Narrow"/>
        </w:rPr>
        <w:t xml:space="preserve">into </w:t>
      </w:r>
      <w:r w:rsidR="00812622">
        <w:rPr>
          <w:rFonts w:ascii="Arial Narrow" w:hAnsi="Arial Narrow"/>
        </w:rPr>
        <w:t>business</w:t>
      </w:r>
      <w:r w:rsidR="006040D2">
        <w:rPr>
          <w:rFonts w:ascii="Arial Narrow" w:hAnsi="Arial Narrow"/>
        </w:rPr>
        <w:t xml:space="preserve"> operations, and to </w:t>
      </w:r>
      <w:r w:rsidR="000B69CE">
        <w:rPr>
          <w:rFonts w:ascii="Arial Narrow" w:hAnsi="Arial Narrow"/>
        </w:rPr>
        <w:t xml:space="preserve">monitor compliance. </w:t>
      </w:r>
    </w:p>
    <w:p w14:paraId="4EBDEDFF" w14:textId="5E65FB22" w:rsidR="00F94759" w:rsidRPr="00CF65EC" w:rsidRDefault="00CD4E78" w:rsidP="00A619A6">
      <w:pPr>
        <w:spacing w:line="480" w:lineRule="auto"/>
        <w:ind w:firstLine="720"/>
        <w:rPr>
          <w:rFonts w:ascii="Arial Narrow" w:hAnsi="Arial Narrow" w:cs="Times New Roman"/>
        </w:rPr>
      </w:pPr>
      <w:r>
        <w:rPr>
          <w:rFonts w:ascii="Arial Narrow" w:hAnsi="Arial Narrow"/>
        </w:rPr>
        <w:lastRenderedPageBreak/>
        <w:t>When allocating resources, whether new or existing, i</w:t>
      </w:r>
      <w:r w:rsidR="00432762" w:rsidRPr="00A66863">
        <w:rPr>
          <w:rFonts w:ascii="Arial Narrow" w:hAnsi="Arial Narrow"/>
        </w:rPr>
        <w:t xml:space="preserve">t’s critically important that </w:t>
      </w:r>
      <w:r w:rsidR="00D6321A">
        <w:rPr>
          <w:rFonts w:ascii="Arial Narrow" w:hAnsi="Arial Narrow"/>
        </w:rPr>
        <w:t xml:space="preserve">we consider the lessons learned </w:t>
      </w:r>
      <w:r w:rsidR="001C1447">
        <w:rPr>
          <w:rFonts w:ascii="Arial Narrow" w:hAnsi="Arial Narrow"/>
        </w:rPr>
        <w:t>on</w:t>
      </w:r>
      <w:r w:rsidR="001C1447" w:rsidRPr="001C1447">
        <w:rPr>
          <w:rFonts w:ascii="Arial Narrow" w:hAnsi="Arial Narrow"/>
        </w:rPr>
        <w:t xml:space="preserve"> </w:t>
      </w:r>
      <w:r w:rsidR="001C1447">
        <w:rPr>
          <w:rFonts w:ascii="Arial Narrow" w:hAnsi="Arial Narrow"/>
        </w:rPr>
        <w:t xml:space="preserve">ownership and senior executive responsibility and accountability, driving compliance through organizations financial incentives, and individual liability, even criminal responsibility, for those who exercise operational or managerial control and </w:t>
      </w:r>
      <w:r w:rsidR="001C1447" w:rsidRPr="009F0955">
        <w:rPr>
          <w:rFonts w:ascii="Arial Narrow" w:hAnsi="Arial Narrow"/>
        </w:rPr>
        <w:t xml:space="preserve">failure to control the misconduct of subordinates, or to </w:t>
      </w:r>
      <w:r w:rsidR="001C1447" w:rsidRPr="00CF65EC">
        <w:rPr>
          <w:rFonts w:ascii="Arial Narrow" w:hAnsi="Arial Narrow"/>
        </w:rPr>
        <w:t xml:space="preserve">discover and correct subordinates’ misconduct. </w:t>
      </w:r>
      <w:r w:rsidR="004F5E23" w:rsidRPr="00CF65EC">
        <w:rPr>
          <w:rFonts w:ascii="Arial Narrow" w:hAnsi="Arial Narrow"/>
        </w:rPr>
        <w:t>E</w:t>
      </w:r>
      <w:r w:rsidR="00D6321A" w:rsidRPr="00CF65EC">
        <w:rPr>
          <w:rFonts w:ascii="Arial Narrow" w:hAnsi="Arial Narrow"/>
        </w:rPr>
        <w:t>ffectiveness can be improved</w:t>
      </w:r>
      <w:r w:rsidR="004F5E23" w:rsidRPr="00CF65EC">
        <w:rPr>
          <w:rFonts w:ascii="Arial Narrow" w:hAnsi="Arial Narrow"/>
        </w:rPr>
        <w:t>,</w:t>
      </w:r>
      <w:r w:rsidR="00D6321A" w:rsidRPr="00CF65EC">
        <w:rPr>
          <w:rFonts w:ascii="Arial Narrow" w:hAnsi="Arial Narrow"/>
        </w:rPr>
        <w:t xml:space="preserve"> not simply by better-resourcing our compliance and legal functions, but </w:t>
      </w:r>
      <w:r w:rsidR="00754C4E" w:rsidRPr="00CF65EC">
        <w:rPr>
          <w:rFonts w:ascii="Arial Narrow" w:hAnsi="Arial Narrow"/>
        </w:rPr>
        <w:t xml:space="preserve">by </w:t>
      </w:r>
      <w:r w:rsidR="004F5E23" w:rsidRPr="00CF65EC">
        <w:rPr>
          <w:rFonts w:ascii="Arial Narrow" w:hAnsi="Arial Narrow"/>
        </w:rPr>
        <w:t xml:space="preserve">maintaining a clear and high </w:t>
      </w:r>
      <w:r w:rsidR="00D6321A" w:rsidRPr="00CF65EC">
        <w:rPr>
          <w:rFonts w:ascii="Arial Narrow" w:hAnsi="Arial Narrow"/>
        </w:rPr>
        <w:t xml:space="preserve">level of responsibility </w:t>
      </w:r>
      <w:r w:rsidR="004F5E23" w:rsidRPr="00CF65EC">
        <w:rPr>
          <w:rFonts w:ascii="Arial Narrow" w:hAnsi="Arial Narrow"/>
        </w:rPr>
        <w:t>on</w:t>
      </w:r>
      <w:r w:rsidR="00D6321A" w:rsidRPr="00CF65EC">
        <w:rPr>
          <w:rFonts w:ascii="Arial Narrow" w:hAnsi="Arial Narrow"/>
        </w:rPr>
        <w:t xml:space="preserve"> company ownership</w:t>
      </w:r>
      <w:r w:rsidR="00754C4E" w:rsidRPr="00CF65EC">
        <w:rPr>
          <w:rFonts w:ascii="Arial Narrow" w:hAnsi="Arial Narrow"/>
        </w:rPr>
        <w:t>,</w:t>
      </w:r>
      <w:r w:rsidR="00D6321A" w:rsidRPr="00CF65EC">
        <w:rPr>
          <w:rFonts w:ascii="Arial Narrow" w:hAnsi="Arial Narrow"/>
        </w:rPr>
        <w:t xml:space="preserve"> senior executive management </w:t>
      </w:r>
      <w:r w:rsidR="00754C4E" w:rsidRPr="00CF65EC">
        <w:rPr>
          <w:rFonts w:ascii="Arial Narrow" w:hAnsi="Arial Narrow"/>
        </w:rPr>
        <w:t xml:space="preserve">and their teams </w:t>
      </w:r>
      <w:r w:rsidR="004F5E23" w:rsidRPr="00CF65EC">
        <w:rPr>
          <w:rFonts w:ascii="Arial Narrow" w:hAnsi="Arial Narrow"/>
        </w:rPr>
        <w:t>to</w:t>
      </w:r>
      <w:r w:rsidR="00D6321A" w:rsidRPr="00CF65EC">
        <w:rPr>
          <w:rFonts w:ascii="Arial Narrow" w:hAnsi="Arial Narrow"/>
        </w:rPr>
        <w:t xml:space="preserve"> overseeing compliance in their areas of responsibility, </w:t>
      </w:r>
      <w:r w:rsidR="004F5E23" w:rsidRPr="00CF65EC">
        <w:rPr>
          <w:rFonts w:ascii="Arial Narrow" w:hAnsi="Arial Narrow"/>
        </w:rPr>
        <w:t>to</w:t>
      </w:r>
      <w:r w:rsidR="00D6321A" w:rsidRPr="00CF65EC">
        <w:rPr>
          <w:rFonts w:ascii="Arial Narrow" w:hAnsi="Arial Narrow"/>
        </w:rPr>
        <w:t xml:space="preserve"> driv</w:t>
      </w:r>
      <w:r w:rsidR="004F5E23" w:rsidRPr="00CF65EC">
        <w:rPr>
          <w:rFonts w:ascii="Arial Narrow" w:hAnsi="Arial Narrow"/>
        </w:rPr>
        <w:t>e</w:t>
      </w:r>
      <w:r w:rsidR="00D6321A" w:rsidRPr="00CF65EC">
        <w:rPr>
          <w:rFonts w:ascii="Arial Narrow" w:hAnsi="Arial Narrow"/>
        </w:rPr>
        <w:t xml:space="preserve"> that dynamic </w:t>
      </w:r>
      <w:r w:rsidR="004F5E23" w:rsidRPr="00CF65EC">
        <w:rPr>
          <w:rFonts w:ascii="Arial Narrow" w:hAnsi="Arial Narrow"/>
        </w:rPr>
        <w:t xml:space="preserve">down </w:t>
      </w:r>
      <w:r w:rsidR="00D6321A" w:rsidRPr="00CF65EC">
        <w:rPr>
          <w:rFonts w:ascii="Arial Narrow" w:hAnsi="Arial Narrow"/>
        </w:rPr>
        <w:t xml:space="preserve">through </w:t>
      </w:r>
      <w:r w:rsidR="004F5E23" w:rsidRPr="00CF65EC">
        <w:rPr>
          <w:rFonts w:ascii="Arial Narrow" w:hAnsi="Arial Narrow"/>
        </w:rPr>
        <w:t>their</w:t>
      </w:r>
      <w:r w:rsidR="00D6321A" w:rsidRPr="00CF65EC">
        <w:rPr>
          <w:rFonts w:ascii="Arial Narrow" w:hAnsi="Arial Narrow"/>
        </w:rPr>
        <w:t xml:space="preserve"> </w:t>
      </w:r>
      <w:r w:rsidR="004F5E23" w:rsidRPr="00CF65EC">
        <w:rPr>
          <w:rFonts w:ascii="Arial Narrow" w:hAnsi="Arial Narrow"/>
        </w:rPr>
        <w:t xml:space="preserve">areas of responsibility </w:t>
      </w:r>
      <w:r w:rsidR="00D6321A" w:rsidRPr="00CF65EC">
        <w:rPr>
          <w:rFonts w:ascii="Arial Narrow" w:hAnsi="Arial Narrow"/>
        </w:rPr>
        <w:t>by structuring appropriate financial incentives.</w:t>
      </w:r>
      <w:r w:rsidR="00F94759" w:rsidRPr="00CF65EC">
        <w:rPr>
          <w:rFonts w:ascii="Arial Narrow" w:hAnsi="Arial Narrow" w:cs="Times New Roman"/>
        </w:rPr>
        <w:t xml:space="preserve"> </w:t>
      </w:r>
    </w:p>
    <w:p w14:paraId="7A7A92E6" w14:textId="37AB13EE" w:rsidR="00A619A6" w:rsidRPr="00CF65EC" w:rsidRDefault="00CF65EC" w:rsidP="00A619A6">
      <w:pPr>
        <w:spacing w:line="480" w:lineRule="auto"/>
        <w:ind w:firstLine="720"/>
        <w:rPr>
          <w:rFonts w:ascii="Arial Narrow" w:hAnsi="Arial Narrow" w:cs="Times New Roman"/>
        </w:rPr>
      </w:pPr>
      <w:r w:rsidRPr="00CF65EC">
        <w:rPr>
          <w:rFonts w:ascii="Arial Narrow" w:hAnsi="Arial Narrow" w:cs="Times New Roman"/>
        </w:rPr>
        <w:t xml:space="preserve">Effectiveness and efficiency, while not always on parallel paths, are not mutually exclusive. </w:t>
      </w:r>
      <w:r>
        <w:rPr>
          <w:rFonts w:ascii="Arial Narrow" w:hAnsi="Arial Narrow" w:cs="Times New Roman"/>
        </w:rPr>
        <w:t xml:space="preserve">Inefficiencies can be costly and frustrating to everyone, and challenges for companies, including their compliance officers and in-house counsel, certainly exist. </w:t>
      </w:r>
      <w:r w:rsidR="004A4F13">
        <w:rPr>
          <w:rFonts w:ascii="Arial Narrow" w:hAnsi="Arial Narrow"/>
        </w:rPr>
        <w:t xml:space="preserve">Struggling to execute efficiently upon business imperatives and priorities can be costly, and can impair otherwise excellent work, well intended and important for company success. If the struggle becomes ongoing it can create unhealthy push and pull dynamics among departments, and particularly between business colleagues and their legal and/or compliance departments, potentially impairing the effectiveness of the compliance program as well. </w:t>
      </w:r>
      <w:r>
        <w:rPr>
          <w:rFonts w:ascii="Arial Narrow" w:hAnsi="Arial Narrow" w:cs="Times New Roman"/>
        </w:rPr>
        <w:t xml:space="preserve">Among the </w:t>
      </w:r>
      <w:r w:rsidR="004A4F13">
        <w:rPr>
          <w:rFonts w:ascii="Arial Narrow" w:hAnsi="Arial Narrow" w:cs="Times New Roman"/>
        </w:rPr>
        <w:t xml:space="preserve">various </w:t>
      </w:r>
      <w:r>
        <w:rPr>
          <w:rFonts w:ascii="Arial Narrow" w:hAnsi="Arial Narrow" w:cs="Times New Roman"/>
        </w:rPr>
        <w:t xml:space="preserve">challenges frequently cited by compliance officers </w:t>
      </w:r>
      <w:r w:rsidR="004A4F13">
        <w:rPr>
          <w:rFonts w:ascii="Arial Narrow" w:hAnsi="Arial Narrow" w:cs="Times New Roman"/>
        </w:rPr>
        <w:t xml:space="preserve">are </w:t>
      </w:r>
      <w:r>
        <w:rPr>
          <w:rFonts w:ascii="Arial Narrow" w:hAnsi="Arial Narrow" w:cs="Times New Roman"/>
        </w:rPr>
        <w:t>k</w:t>
      </w:r>
      <w:r w:rsidRPr="00CF65EC">
        <w:rPr>
          <w:rFonts w:ascii="Arial Narrow" w:hAnsi="Arial Narrow" w:cs="Times New Roman"/>
        </w:rPr>
        <w:t>nowing and keeping current with a broad scope of business strategies and dynamics</w:t>
      </w:r>
      <w:r>
        <w:rPr>
          <w:rFonts w:ascii="Arial Narrow" w:hAnsi="Arial Narrow" w:cs="Times New Roman"/>
        </w:rPr>
        <w:t>, gaining business buy-in</w:t>
      </w:r>
      <w:r w:rsidR="004A4F13">
        <w:rPr>
          <w:rFonts w:ascii="Arial Narrow" w:hAnsi="Arial Narrow" w:cs="Times New Roman"/>
        </w:rPr>
        <w:t xml:space="preserve"> to </w:t>
      </w:r>
      <w:r w:rsidR="00521CD0">
        <w:rPr>
          <w:rFonts w:ascii="Arial Narrow" w:hAnsi="Arial Narrow" w:cs="Times New Roman"/>
        </w:rPr>
        <w:t>problems and solutions</w:t>
      </w:r>
      <w:r>
        <w:rPr>
          <w:rFonts w:ascii="Arial Narrow" w:hAnsi="Arial Narrow" w:cs="Times New Roman"/>
        </w:rPr>
        <w:t xml:space="preserve">, and designing and implementing solutions </w:t>
      </w:r>
      <w:r w:rsidR="00521CD0">
        <w:rPr>
          <w:rFonts w:ascii="Arial Narrow" w:hAnsi="Arial Narrow" w:cs="Times New Roman"/>
        </w:rPr>
        <w:t>that colleagues believe adequately account for business imperatives</w:t>
      </w:r>
      <w:r>
        <w:rPr>
          <w:rFonts w:ascii="Arial Narrow" w:hAnsi="Arial Narrow" w:cs="Times New Roman"/>
        </w:rPr>
        <w:t>, and g</w:t>
      </w:r>
      <w:r w:rsidRPr="00CF65EC">
        <w:rPr>
          <w:rFonts w:ascii="Arial Narrow" w:hAnsi="Arial Narrow" w:cs="Times New Roman"/>
        </w:rPr>
        <w:t xml:space="preserve">aining and maintaining sufficient traction to move compliance initiatives forward </w:t>
      </w:r>
      <w:r>
        <w:rPr>
          <w:rFonts w:ascii="Arial Narrow" w:hAnsi="Arial Narrow" w:cs="Times New Roman"/>
        </w:rPr>
        <w:t xml:space="preserve">on a timely basis. </w:t>
      </w:r>
      <w:r>
        <w:rPr>
          <w:rFonts w:ascii="Arial Narrow" w:hAnsi="Arial Narrow"/>
        </w:rPr>
        <w:t>Efficiency is important, and c</w:t>
      </w:r>
      <w:r w:rsidRPr="00A66863">
        <w:rPr>
          <w:rFonts w:ascii="Arial Narrow" w:hAnsi="Arial Narrow" w:cs="Times New Roman"/>
        </w:rPr>
        <w:t xml:space="preserve">ompliance </w:t>
      </w:r>
      <w:r>
        <w:rPr>
          <w:rFonts w:ascii="Arial Narrow" w:hAnsi="Arial Narrow" w:cs="Times New Roman"/>
        </w:rPr>
        <w:t xml:space="preserve">officers and in-house compliance counsel should not lose focus on their core capabilities - </w:t>
      </w:r>
      <w:r w:rsidRPr="00A66863">
        <w:rPr>
          <w:rFonts w:ascii="Arial Narrow" w:hAnsi="Arial Narrow" w:cs="Times New Roman"/>
        </w:rPr>
        <w:t>provid</w:t>
      </w:r>
      <w:r>
        <w:rPr>
          <w:rFonts w:ascii="Arial Narrow" w:hAnsi="Arial Narrow" w:cs="Times New Roman"/>
        </w:rPr>
        <w:t>ing</w:t>
      </w:r>
      <w:r w:rsidRPr="00A66863">
        <w:rPr>
          <w:rFonts w:ascii="Arial Narrow" w:hAnsi="Arial Narrow" w:cs="Times New Roman"/>
        </w:rPr>
        <w:t xml:space="preserve"> advice, training and education regarding </w:t>
      </w:r>
      <w:r>
        <w:rPr>
          <w:rFonts w:ascii="Arial Narrow" w:hAnsi="Arial Narrow" w:cs="Times New Roman"/>
        </w:rPr>
        <w:t xml:space="preserve">legal and industry requirements and practices, </w:t>
      </w:r>
      <w:r w:rsidRPr="00A66863">
        <w:rPr>
          <w:rFonts w:ascii="Arial Narrow" w:hAnsi="Arial Narrow" w:cs="Times New Roman"/>
        </w:rPr>
        <w:t xml:space="preserve">and </w:t>
      </w:r>
      <w:r>
        <w:rPr>
          <w:rFonts w:ascii="Arial Narrow" w:hAnsi="Arial Narrow" w:cs="Times New Roman"/>
        </w:rPr>
        <w:t xml:space="preserve">for compliance officers, </w:t>
      </w:r>
      <w:r w:rsidRPr="00A66863">
        <w:rPr>
          <w:rFonts w:ascii="Arial Narrow" w:hAnsi="Arial Narrow" w:cs="Times New Roman"/>
        </w:rPr>
        <w:t>undertak</w:t>
      </w:r>
      <w:r>
        <w:rPr>
          <w:rFonts w:ascii="Arial Narrow" w:hAnsi="Arial Narrow" w:cs="Times New Roman"/>
        </w:rPr>
        <w:t>ing</w:t>
      </w:r>
      <w:r w:rsidRPr="00A66863">
        <w:rPr>
          <w:rFonts w:ascii="Arial Narrow" w:hAnsi="Arial Narrow" w:cs="Times New Roman"/>
        </w:rPr>
        <w:t xml:space="preserve"> monitor</w:t>
      </w:r>
      <w:r>
        <w:rPr>
          <w:rFonts w:ascii="Arial Narrow" w:hAnsi="Arial Narrow" w:cs="Times New Roman"/>
        </w:rPr>
        <w:t>ing</w:t>
      </w:r>
      <w:r w:rsidRPr="00A66863">
        <w:rPr>
          <w:rFonts w:ascii="Arial Narrow" w:hAnsi="Arial Narrow" w:cs="Times New Roman"/>
        </w:rPr>
        <w:t xml:space="preserve"> </w:t>
      </w:r>
      <w:r>
        <w:rPr>
          <w:rFonts w:ascii="Arial Narrow" w:hAnsi="Arial Narrow" w:cs="Times New Roman"/>
        </w:rPr>
        <w:t>of</w:t>
      </w:r>
      <w:r w:rsidRPr="00A66863">
        <w:rPr>
          <w:rFonts w:ascii="Arial Narrow" w:hAnsi="Arial Narrow" w:cs="Times New Roman"/>
        </w:rPr>
        <w:t xml:space="preserve"> business activities with respect to </w:t>
      </w:r>
      <w:r>
        <w:rPr>
          <w:rFonts w:ascii="Arial Narrow" w:hAnsi="Arial Narrow" w:cs="Times New Roman"/>
        </w:rPr>
        <w:t>these requirements</w:t>
      </w:r>
      <w:r w:rsidRPr="00A66863">
        <w:rPr>
          <w:rFonts w:ascii="Arial Narrow" w:hAnsi="Arial Narrow" w:cs="Times New Roman"/>
        </w:rPr>
        <w:t xml:space="preserve">. </w:t>
      </w:r>
      <w:r w:rsidR="00A619A6">
        <w:rPr>
          <w:rFonts w:ascii="Arial Narrow" w:hAnsi="Arial Narrow" w:cs="Times New Roman"/>
        </w:rPr>
        <w:t xml:space="preserve">These are the areas where they can add the most value. </w:t>
      </w:r>
      <w:r w:rsidR="00521CD0">
        <w:rPr>
          <w:rFonts w:ascii="Arial Narrow" w:hAnsi="Arial Narrow" w:cs="Times New Roman"/>
        </w:rPr>
        <w:t xml:space="preserve"> </w:t>
      </w:r>
      <w:r w:rsidR="00A619A6">
        <w:rPr>
          <w:rFonts w:ascii="Arial Narrow" w:hAnsi="Arial Narrow" w:cs="Times New Roman"/>
        </w:rPr>
        <w:t xml:space="preserve">In this respect, compliance </w:t>
      </w:r>
      <w:r w:rsidR="00A619A6">
        <w:rPr>
          <w:rFonts w:ascii="Arial Narrow" w:hAnsi="Arial Narrow" w:cs="Times New Roman"/>
        </w:rPr>
        <w:lastRenderedPageBreak/>
        <w:t xml:space="preserve">officers and in-house counsel should carefully consider whether and how much further to integrate themselves into </w:t>
      </w:r>
      <w:r w:rsidR="00521CD0">
        <w:rPr>
          <w:rFonts w:ascii="Arial Narrow" w:hAnsi="Arial Narrow" w:cs="Times New Roman"/>
        </w:rPr>
        <w:t xml:space="preserve">the design or redesign and execution of </w:t>
      </w:r>
      <w:r w:rsidR="00A619A6">
        <w:rPr>
          <w:rFonts w:ascii="Arial Narrow" w:hAnsi="Arial Narrow" w:cs="Times New Roman"/>
        </w:rPr>
        <w:t>day-to-day business processes</w:t>
      </w:r>
      <w:r w:rsidR="00521CD0">
        <w:rPr>
          <w:rFonts w:ascii="Arial Narrow" w:hAnsi="Arial Narrow" w:cs="Times New Roman"/>
        </w:rPr>
        <w:t>. Each step further into the process should be accompanied by the question “Can and should the [] department</w:t>
      </w:r>
      <w:r w:rsidR="00D3606A">
        <w:rPr>
          <w:rFonts w:ascii="Arial Narrow" w:hAnsi="Arial Narrow" w:cs="Times New Roman"/>
        </w:rPr>
        <w:t xml:space="preserve"> / division / business unit</w:t>
      </w:r>
      <w:r w:rsidR="00521CD0">
        <w:rPr>
          <w:rFonts w:ascii="Arial Narrow" w:hAnsi="Arial Narrow" w:cs="Times New Roman"/>
        </w:rPr>
        <w:t xml:space="preserve"> </w:t>
      </w:r>
      <w:r w:rsidR="00D3606A">
        <w:rPr>
          <w:rFonts w:ascii="Arial Narrow" w:hAnsi="Arial Narrow" w:cs="Times New Roman"/>
        </w:rPr>
        <w:t>address</w:t>
      </w:r>
      <w:r w:rsidR="00521CD0">
        <w:rPr>
          <w:rFonts w:ascii="Arial Narrow" w:hAnsi="Arial Narrow" w:cs="Times New Roman"/>
        </w:rPr>
        <w:t xml:space="preserve"> </w:t>
      </w:r>
      <w:r w:rsidR="00D3606A">
        <w:rPr>
          <w:rFonts w:ascii="Arial Narrow" w:hAnsi="Arial Narrow" w:cs="Times New Roman"/>
        </w:rPr>
        <w:t xml:space="preserve">process </w:t>
      </w:r>
      <w:r w:rsidR="00521CD0">
        <w:rPr>
          <w:rFonts w:ascii="Arial Narrow" w:hAnsi="Arial Narrow" w:cs="Times New Roman"/>
        </w:rPr>
        <w:t xml:space="preserve">this on its own, with our </w:t>
      </w:r>
      <w:r w:rsidR="00D3606A">
        <w:rPr>
          <w:rFonts w:ascii="Arial Narrow" w:hAnsi="Arial Narrow" w:cs="Times New Roman"/>
        </w:rPr>
        <w:t xml:space="preserve">advice, </w:t>
      </w:r>
      <w:r w:rsidR="00521CD0">
        <w:rPr>
          <w:rFonts w:ascii="Arial Narrow" w:hAnsi="Arial Narrow" w:cs="Times New Roman"/>
        </w:rPr>
        <w:t xml:space="preserve">training, coaching and monitoring?” </w:t>
      </w:r>
      <w:r>
        <w:rPr>
          <w:rFonts w:ascii="Arial Narrow" w:hAnsi="Arial Narrow" w:cs="Arial"/>
          <w:color w:val="1A1A1A"/>
        </w:rPr>
        <w:t>When</w:t>
      </w:r>
      <w:r>
        <w:rPr>
          <w:rFonts w:ascii="Arial Narrow" w:hAnsi="Arial Narrow"/>
        </w:rPr>
        <w:t xml:space="preserve"> business </w:t>
      </w:r>
      <w:r w:rsidR="00A619A6">
        <w:rPr>
          <w:rFonts w:ascii="Arial Narrow" w:hAnsi="Arial Narrow"/>
        </w:rPr>
        <w:t xml:space="preserve">colleagues </w:t>
      </w:r>
      <w:r>
        <w:rPr>
          <w:rFonts w:ascii="Arial Narrow" w:hAnsi="Arial Narrow"/>
        </w:rPr>
        <w:t xml:space="preserve">are </w:t>
      </w:r>
      <w:r w:rsidR="00D3606A">
        <w:rPr>
          <w:rFonts w:ascii="Arial Narrow" w:hAnsi="Arial Narrow"/>
        </w:rPr>
        <w:t xml:space="preserve">advised and </w:t>
      </w:r>
      <w:r>
        <w:rPr>
          <w:rFonts w:ascii="Arial Narrow" w:hAnsi="Arial Narrow"/>
        </w:rPr>
        <w:t xml:space="preserve">trained properly, coached from the sidelines, and monitored appropriately, they are often in the best position to </w:t>
      </w:r>
      <w:r w:rsidR="00A619A6">
        <w:rPr>
          <w:rFonts w:ascii="Arial Narrow" w:hAnsi="Arial Narrow"/>
        </w:rPr>
        <w:t xml:space="preserve">perform those tasks </w:t>
      </w:r>
      <w:r>
        <w:rPr>
          <w:rFonts w:ascii="Arial Narrow" w:hAnsi="Arial Narrow"/>
        </w:rPr>
        <w:t>compliant</w:t>
      </w:r>
      <w:r w:rsidR="00A619A6">
        <w:rPr>
          <w:rFonts w:ascii="Arial Narrow" w:hAnsi="Arial Narrow"/>
        </w:rPr>
        <w:t xml:space="preserve">ly. </w:t>
      </w:r>
      <w:r>
        <w:rPr>
          <w:rFonts w:ascii="Arial Narrow" w:hAnsi="Arial Narrow"/>
        </w:rPr>
        <w:t xml:space="preserve">More, </w:t>
      </w:r>
      <w:r w:rsidR="00521CD0">
        <w:rPr>
          <w:rFonts w:ascii="Arial Narrow" w:hAnsi="Arial Narrow"/>
        </w:rPr>
        <w:t xml:space="preserve">often </w:t>
      </w:r>
      <w:r>
        <w:rPr>
          <w:rFonts w:ascii="Arial Narrow" w:hAnsi="Arial Narrow"/>
        </w:rPr>
        <w:t>they are also in the best position to ensure that those tasks are efficient and best in line with business dyna</w:t>
      </w:r>
      <w:r w:rsidR="00A619A6">
        <w:rPr>
          <w:rFonts w:ascii="Arial Narrow" w:hAnsi="Arial Narrow"/>
        </w:rPr>
        <w:t>mics, strategies and processes. A</w:t>
      </w:r>
      <w:r w:rsidR="00521CD0">
        <w:rPr>
          <w:rFonts w:ascii="Arial Narrow" w:hAnsi="Arial Narrow"/>
        </w:rPr>
        <w:t>t</w:t>
      </w:r>
      <w:r w:rsidR="00A619A6">
        <w:rPr>
          <w:rFonts w:ascii="Arial Narrow" w:hAnsi="Arial Narrow"/>
        </w:rPr>
        <w:t xml:space="preserve"> the same time, b</w:t>
      </w:r>
      <w:r w:rsidR="00A619A6" w:rsidRPr="00CF65EC">
        <w:rPr>
          <w:rFonts w:ascii="Arial Narrow" w:hAnsi="Arial Narrow" w:cs="Times New Roman"/>
        </w:rPr>
        <w:t xml:space="preserve">alanced, impartial advice is more likely to come from </w:t>
      </w:r>
      <w:r w:rsidR="00521CD0">
        <w:rPr>
          <w:rFonts w:ascii="Arial Narrow" w:hAnsi="Arial Narrow" w:cs="Times New Roman"/>
        </w:rPr>
        <w:t xml:space="preserve">legal and </w:t>
      </w:r>
      <w:r w:rsidR="00A619A6" w:rsidRPr="00CF65EC">
        <w:rPr>
          <w:rFonts w:ascii="Arial Narrow" w:hAnsi="Arial Narrow" w:cs="Times New Roman"/>
        </w:rPr>
        <w:t xml:space="preserve">compliance professionals who are not also performing </w:t>
      </w:r>
      <w:r w:rsidR="00A619A6">
        <w:rPr>
          <w:rFonts w:ascii="Arial Narrow" w:hAnsi="Arial Narrow" w:cs="Times New Roman"/>
        </w:rPr>
        <w:t xml:space="preserve">or supervising </w:t>
      </w:r>
      <w:r w:rsidR="00521CD0">
        <w:rPr>
          <w:rFonts w:ascii="Arial Narrow" w:hAnsi="Arial Narrow" w:cs="Times New Roman"/>
        </w:rPr>
        <w:t xml:space="preserve">those </w:t>
      </w:r>
      <w:r w:rsidR="00A619A6" w:rsidRPr="00CF65EC">
        <w:rPr>
          <w:rFonts w:ascii="Arial Narrow" w:hAnsi="Arial Narrow" w:cs="Times New Roman"/>
        </w:rPr>
        <w:t xml:space="preserve">business activities. </w:t>
      </w:r>
      <w:r w:rsidR="00521CD0">
        <w:rPr>
          <w:rFonts w:ascii="Arial Narrow" w:hAnsi="Arial Narrow" w:cs="Times New Roman"/>
        </w:rPr>
        <w:t>C</w:t>
      </w:r>
      <w:r w:rsidR="00A619A6" w:rsidRPr="00CF65EC">
        <w:rPr>
          <w:rFonts w:ascii="Arial Narrow" w:hAnsi="Arial Narrow" w:cs="Times New Roman"/>
        </w:rPr>
        <w:t xml:space="preserve">ompliance officers must </w:t>
      </w:r>
      <w:r w:rsidR="00521CD0">
        <w:rPr>
          <w:rFonts w:ascii="Arial Narrow" w:hAnsi="Arial Narrow" w:cs="Times New Roman"/>
        </w:rPr>
        <w:t xml:space="preserve">also </w:t>
      </w:r>
      <w:r w:rsidR="00A619A6" w:rsidRPr="00CF65EC">
        <w:rPr>
          <w:rFonts w:ascii="Arial Narrow" w:hAnsi="Arial Narrow" w:cs="Times New Roman"/>
        </w:rPr>
        <w:t>find a way to independently</w:t>
      </w:r>
      <w:r w:rsidR="00521CD0">
        <w:rPr>
          <w:rFonts w:ascii="Arial Narrow" w:hAnsi="Arial Narrow" w:cs="Times New Roman"/>
        </w:rPr>
        <w:t xml:space="preserve"> </w:t>
      </w:r>
      <w:r w:rsidR="00A619A6" w:rsidRPr="00CF65EC">
        <w:rPr>
          <w:rFonts w:ascii="Arial Narrow" w:hAnsi="Arial Narrow" w:cs="Times New Roman"/>
        </w:rPr>
        <w:t>monitor</w:t>
      </w:r>
      <w:r w:rsidR="00521CD0">
        <w:rPr>
          <w:rFonts w:ascii="Arial Narrow" w:hAnsi="Arial Narrow" w:cs="Times New Roman"/>
        </w:rPr>
        <w:t xml:space="preserve"> those activities</w:t>
      </w:r>
      <w:r w:rsidR="00A619A6" w:rsidRPr="00CF65EC">
        <w:rPr>
          <w:rFonts w:ascii="Arial Narrow" w:hAnsi="Arial Narrow" w:cs="Times New Roman"/>
        </w:rPr>
        <w:t xml:space="preserve"> </w:t>
      </w:r>
      <w:r w:rsidR="00521CD0">
        <w:rPr>
          <w:rFonts w:ascii="Arial Narrow" w:hAnsi="Arial Narrow" w:cs="Times New Roman"/>
        </w:rPr>
        <w:t>as well</w:t>
      </w:r>
      <w:r w:rsidR="00A619A6" w:rsidRPr="00CF65EC">
        <w:rPr>
          <w:rFonts w:ascii="Arial Narrow" w:hAnsi="Arial Narrow" w:cs="Times New Roman"/>
        </w:rPr>
        <w:t xml:space="preserve">. </w:t>
      </w:r>
    </w:p>
    <w:p w14:paraId="69DC8697" w14:textId="16FD006C" w:rsidR="00295130" w:rsidRDefault="000C3307" w:rsidP="00A619A6">
      <w:pPr>
        <w:spacing w:line="480" w:lineRule="auto"/>
        <w:ind w:firstLine="720"/>
        <w:rPr>
          <w:rFonts w:ascii="Arial Narrow" w:hAnsi="Arial Narrow" w:cs="Arial"/>
          <w:color w:val="1A1A1A"/>
        </w:rPr>
      </w:pPr>
      <w:r>
        <w:rPr>
          <w:rFonts w:ascii="Arial Narrow" w:hAnsi="Arial Narrow" w:cs="Arial"/>
          <w:color w:val="1A1A1A"/>
        </w:rPr>
        <w:t xml:space="preserve">This session is intended to develop a discussion among the speakers and participants on the best ways to create effective, efficient compliance programs. </w:t>
      </w:r>
      <w:r w:rsidR="009241F3" w:rsidRPr="009F0955">
        <w:rPr>
          <w:rFonts w:ascii="Arial Narrow" w:hAnsi="Arial Narrow" w:cs="Arial"/>
          <w:color w:val="1A1A1A"/>
        </w:rPr>
        <w:t xml:space="preserve">While there are no “magic pills” to help </w:t>
      </w:r>
      <w:r w:rsidR="00440897">
        <w:rPr>
          <w:rFonts w:ascii="Arial Narrow" w:hAnsi="Arial Narrow" w:cs="Arial"/>
          <w:color w:val="1A1A1A"/>
        </w:rPr>
        <w:t xml:space="preserve">legal counsel or </w:t>
      </w:r>
      <w:r w:rsidR="009241F3" w:rsidRPr="009F0955">
        <w:rPr>
          <w:rFonts w:ascii="Arial Narrow" w:hAnsi="Arial Narrow" w:cs="Arial"/>
          <w:color w:val="1A1A1A"/>
        </w:rPr>
        <w:t xml:space="preserve">compliance officers address these challenges, there is a prescription for </w:t>
      </w:r>
      <w:r w:rsidR="00D33B4A">
        <w:rPr>
          <w:rFonts w:ascii="Arial Narrow" w:hAnsi="Arial Narrow" w:cs="Arial"/>
          <w:color w:val="1A1A1A"/>
        </w:rPr>
        <w:t>the</w:t>
      </w:r>
      <w:r w:rsidR="009241F3" w:rsidRPr="009F0955">
        <w:rPr>
          <w:rFonts w:ascii="Arial Narrow" w:hAnsi="Arial Narrow" w:cs="Arial"/>
          <w:color w:val="1A1A1A"/>
        </w:rPr>
        <w:t xml:space="preserve"> problem – a prescription that can improve </w:t>
      </w:r>
      <w:r w:rsidR="00D33B4A">
        <w:rPr>
          <w:rFonts w:ascii="Arial Narrow" w:hAnsi="Arial Narrow" w:cs="Arial"/>
          <w:color w:val="1A1A1A"/>
        </w:rPr>
        <w:t>compliance</w:t>
      </w:r>
      <w:r w:rsidR="009241F3" w:rsidRPr="009F0955">
        <w:rPr>
          <w:rFonts w:ascii="Arial Narrow" w:hAnsi="Arial Narrow" w:cs="Arial"/>
          <w:color w:val="1A1A1A"/>
        </w:rPr>
        <w:t xml:space="preserve"> programs</w:t>
      </w:r>
      <w:r w:rsidR="00D33B4A">
        <w:rPr>
          <w:rFonts w:ascii="Arial Narrow" w:hAnsi="Arial Narrow" w:cs="Arial"/>
          <w:color w:val="1A1A1A"/>
        </w:rPr>
        <w:t xml:space="preserve"> and their associated</w:t>
      </w:r>
      <w:r w:rsidR="009241F3" w:rsidRPr="009F0955">
        <w:rPr>
          <w:rFonts w:ascii="Arial Narrow" w:hAnsi="Arial Narrow" w:cs="Arial"/>
          <w:color w:val="1A1A1A"/>
        </w:rPr>
        <w:t xml:space="preserve"> companies</w:t>
      </w:r>
      <w:r w:rsidR="00D33B4A">
        <w:rPr>
          <w:rFonts w:ascii="Arial Narrow" w:hAnsi="Arial Narrow" w:cs="Arial"/>
          <w:color w:val="1A1A1A"/>
        </w:rPr>
        <w:t xml:space="preserve">. </w:t>
      </w:r>
      <w:r w:rsidR="009241F3" w:rsidRPr="009F0955">
        <w:rPr>
          <w:rFonts w:ascii="Arial Narrow" w:hAnsi="Arial Narrow" w:cs="Arial"/>
          <w:color w:val="1A1A1A"/>
        </w:rPr>
        <w:t xml:space="preserve">This prescription is found, in part, in the fundamentals of how companies and their compliance </w:t>
      </w:r>
      <w:r w:rsidR="00D33B4A">
        <w:rPr>
          <w:rFonts w:ascii="Arial Narrow" w:hAnsi="Arial Narrow" w:cs="Arial"/>
          <w:color w:val="1A1A1A"/>
        </w:rPr>
        <w:t xml:space="preserve">and legal staff </w:t>
      </w:r>
      <w:r w:rsidR="009241F3" w:rsidRPr="009F0955">
        <w:rPr>
          <w:rFonts w:ascii="Arial Narrow" w:hAnsi="Arial Narrow" w:cs="Arial"/>
          <w:color w:val="1A1A1A"/>
        </w:rPr>
        <w:t>view the</w:t>
      </w:r>
      <w:r w:rsidR="00D33B4A">
        <w:rPr>
          <w:rFonts w:ascii="Arial Narrow" w:hAnsi="Arial Narrow" w:cs="Arial"/>
          <w:color w:val="1A1A1A"/>
        </w:rPr>
        <w:t>ir</w:t>
      </w:r>
      <w:r w:rsidR="009241F3" w:rsidRPr="009F0955">
        <w:rPr>
          <w:rFonts w:ascii="Arial Narrow" w:hAnsi="Arial Narrow" w:cs="Arial"/>
          <w:color w:val="1A1A1A"/>
        </w:rPr>
        <w:t xml:space="preserve"> role</w:t>
      </w:r>
      <w:r w:rsidR="00D33B4A">
        <w:rPr>
          <w:rFonts w:ascii="Arial Narrow" w:hAnsi="Arial Narrow" w:cs="Arial"/>
          <w:color w:val="1A1A1A"/>
        </w:rPr>
        <w:t>s</w:t>
      </w:r>
      <w:r w:rsidR="009241F3" w:rsidRPr="009F0955">
        <w:rPr>
          <w:rFonts w:ascii="Arial Narrow" w:hAnsi="Arial Narrow" w:cs="Arial"/>
          <w:color w:val="1A1A1A"/>
        </w:rPr>
        <w:t xml:space="preserve"> </w:t>
      </w:r>
      <w:r w:rsidR="00D33B4A">
        <w:rPr>
          <w:rFonts w:ascii="Arial Narrow" w:hAnsi="Arial Narrow" w:cs="Arial"/>
          <w:color w:val="1A1A1A"/>
        </w:rPr>
        <w:t>with</w:t>
      </w:r>
      <w:r w:rsidR="009241F3" w:rsidRPr="009F0955">
        <w:rPr>
          <w:rFonts w:ascii="Arial Narrow" w:hAnsi="Arial Narrow" w:cs="Arial"/>
          <w:color w:val="1A1A1A"/>
        </w:rPr>
        <w:t xml:space="preserve">in their organizations. Experience shows that establishing and maintaining the right paradigm for </w:t>
      </w:r>
      <w:r w:rsidR="00D33B4A">
        <w:rPr>
          <w:rFonts w:ascii="Arial Narrow" w:hAnsi="Arial Narrow" w:cs="Arial"/>
          <w:color w:val="1A1A1A"/>
        </w:rPr>
        <w:t xml:space="preserve">in-house legal and </w:t>
      </w:r>
      <w:r w:rsidR="009241F3" w:rsidRPr="009F0955">
        <w:rPr>
          <w:rFonts w:ascii="Arial Narrow" w:hAnsi="Arial Narrow" w:cs="Arial"/>
          <w:color w:val="1A1A1A"/>
        </w:rPr>
        <w:t xml:space="preserve">compliance functions </w:t>
      </w:r>
      <w:r w:rsidR="00D33B4A">
        <w:rPr>
          <w:rFonts w:ascii="Arial Narrow" w:hAnsi="Arial Narrow" w:cs="Arial"/>
          <w:color w:val="1A1A1A"/>
        </w:rPr>
        <w:t xml:space="preserve">in the compliance context </w:t>
      </w:r>
      <w:r w:rsidR="009241F3" w:rsidRPr="009F0955">
        <w:rPr>
          <w:rFonts w:ascii="Arial Narrow" w:hAnsi="Arial Narrow" w:cs="Arial"/>
          <w:color w:val="1A1A1A"/>
        </w:rPr>
        <w:t xml:space="preserve">is essential to ensuring that </w:t>
      </w:r>
      <w:r w:rsidR="00D33B4A">
        <w:rPr>
          <w:rFonts w:ascii="Arial Narrow" w:hAnsi="Arial Narrow" w:cs="Arial"/>
          <w:color w:val="1A1A1A"/>
        </w:rPr>
        <w:t xml:space="preserve">these </w:t>
      </w:r>
      <w:r w:rsidR="009241F3" w:rsidRPr="009F0955">
        <w:rPr>
          <w:rFonts w:ascii="Arial Narrow" w:hAnsi="Arial Narrow" w:cs="Arial"/>
          <w:color w:val="1A1A1A"/>
        </w:rPr>
        <w:t xml:space="preserve">functions fully and appropriately integrate into their companies, and that responsibility and accountability follow. </w:t>
      </w:r>
      <w:r w:rsidR="00CD4E78">
        <w:rPr>
          <w:rFonts w:ascii="Arial Narrow" w:hAnsi="Arial Narrow" w:cs="Arial"/>
          <w:color w:val="1A1A1A"/>
        </w:rPr>
        <w:t xml:space="preserve">To be effective, compliance officer and in-house counsel should take care to consider the </w:t>
      </w:r>
      <w:r w:rsidR="00CD4E78">
        <w:rPr>
          <w:rFonts w:ascii="Arial Narrow" w:hAnsi="Arial Narrow"/>
        </w:rPr>
        <w:t>lessons learned on</w:t>
      </w:r>
      <w:r w:rsidR="00CD4E78" w:rsidRPr="001C1447">
        <w:rPr>
          <w:rFonts w:ascii="Arial Narrow" w:hAnsi="Arial Narrow"/>
        </w:rPr>
        <w:t xml:space="preserve"> </w:t>
      </w:r>
      <w:r w:rsidR="00CD4E78">
        <w:rPr>
          <w:rFonts w:ascii="Arial Narrow" w:hAnsi="Arial Narrow"/>
        </w:rPr>
        <w:t xml:space="preserve">ownership and senior executive responsibility and accountability, driving compliance through organizations financial incentives, and individual liability, even criminal responsibility, for those who exercise operational or managerial control and </w:t>
      </w:r>
      <w:r w:rsidR="00CD4E78" w:rsidRPr="009F0955">
        <w:rPr>
          <w:rFonts w:ascii="Arial Narrow" w:hAnsi="Arial Narrow"/>
        </w:rPr>
        <w:t xml:space="preserve">failure to control the misconduct of subordinates, or to discover </w:t>
      </w:r>
      <w:r w:rsidR="00CD4E78">
        <w:rPr>
          <w:rFonts w:ascii="Arial Narrow" w:hAnsi="Arial Narrow"/>
        </w:rPr>
        <w:t>and</w:t>
      </w:r>
      <w:r w:rsidR="00CD4E78" w:rsidRPr="009F0955">
        <w:rPr>
          <w:rFonts w:ascii="Arial Narrow" w:hAnsi="Arial Narrow"/>
        </w:rPr>
        <w:t xml:space="preserve"> correct subordinates’ misconduct</w:t>
      </w:r>
      <w:r w:rsidR="00CD4E78">
        <w:rPr>
          <w:rFonts w:ascii="Arial Narrow" w:hAnsi="Arial Narrow"/>
        </w:rPr>
        <w:t>. Efficiency is also important, and c</w:t>
      </w:r>
      <w:r w:rsidR="007565E1" w:rsidRPr="00A66863">
        <w:rPr>
          <w:rFonts w:ascii="Arial Narrow" w:hAnsi="Arial Narrow" w:cs="Times New Roman"/>
        </w:rPr>
        <w:t xml:space="preserve">ompliance </w:t>
      </w:r>
      <w:r w:rsidR="007565E1">
        <w:rPr>
          <w:rFonts w:ascii="Arial Narrow" w:hAnsi="Arial Narrow" w:cs="Times New Roman"/>
        </w:rPr>
        <w:t xml:space="preserve">officers and in-house compliance counsel should not lose focus on their core capabilities - </w:t>
      </w:r>
      <w:r w:rsidR="007565E1" w:rsidRPr="00A66863">
        <w:rPr>
          <w:rFonts w:ascii="Arial Narrow" w:hAnsi="Arial Narrow" w:cs="Times New Roman"/>
        </w:rPr>
        <w:t>provid</w:t>
      </w:r>
      <w:r w:rsidR="007565E1">
        <w:rPr>
          <w:rFonts w:ascii="Arial Narrow" w:hAnsi="Arial Narrow" w:cs="Times New Roman"/>
        </w:rPr>
        <w:t>ing</w:t>
      </w:r>
      <w:r w:rsidR="007565E1" w:rsidRPr="00A66863">
        <w:rPr>
          <w:rFonts w:ascii="Arial Narrow" w:hAnsi="Arial Narrow" w:cs="Times New Roman"/>
        </w:rPr>
        <w:t xml:space="preserve"> advice, training and </w:t>
      </w:r>
      <w:r w:rsidR="007565E1" w:rsidRPr="00A66863">
        <w:rPr>
          <w:rFonts w:ascii="Arial Narrow" w:hAnsi="Arial Narrow" w:cs="Times New Roman"/>
        </w:rPr>
        <w:lastRenderedPageBreak/>
        <w:t xml:space="preserve">education regarding </w:t>
      </w:r>
      <w:r w:rsidR="007565E1">
        <w:rPr>
          <w:rFonts w:ascii="Arial Narrow" w:hAnsi="Arial Narrow" w:cs="Times New Roman"/>
        </w:rPr>
        <w:t>legal and industry requirements and practices</w:t>
      </w:r>
      <w:r w:rsidR="00CF65EC">
        <w:rPr>
          <w:rFonts w:ascii="Arial Narrow" w:hAnsi="Arial Narrow" w:cs="Times New Roman"/>
        </w:rPr>
        <w:t xml:space="preserve">, </w:t>
      </w:r>
      <w:r w:rsidR="007565E1" w:rsidRPr="00A66863">
        <w:rPr>
          <w:rFonts w:ascii="Arial Narrow" w:hAnsi="Arial Narrow" w:cs="Times New Roman"/>
        </w:rPr>
        <w:t xml:space="preserve">and </w:t>
      </w:r>
      <w:r w:rsidR="007565E1">
        <w:rPr>
          <w:rFonts w:ascii="Arial Narrow" w:hAnsi="Arial Narrow" w:cs="Times New Roman"/>
        </w:rPr>
        <w:t xml:space="preserve">for compliance officers, </w:t>
      </w:r>
      <w:r w:rsidR="007565E1" w:rsidRPr="00A66863">
        <w:rPr>
          <w:rFonts w:ascii="Arial Narrow" w:hAnsi="Arial Narrow" w:cs="Times New Roman"/>
        </w:rPr>
        <w:t>undertak</w:t>
      </w:r>
      <w:r w:rsidR="007565E1">
        <w:rPr>
          <w:rFonts w:ascii="Arial Narrow" w:hAnsi="Arial Narrow" w:cs="Times New Roman"/>
        </w:rPr>
        <w:t>ing</w:t>
      </w:r>
      <w:r w:rsidR="007565E1" w:rsidRPr="00A66863">
        <w:rPr>
          <w:rFonts w:ascii="Arial Narrow" w:hAnsi="Arial Narrow" w:cs="Times New Roman"/>
        </w:rPr>
        <w:t xml:space="preserve"> monitor</w:t>
      </w:r>
      <w:r w:rsidR="007565E1">
        <w:rPr>
          <w:rFonts w:ascii="Arial Narrow" w:hAnsi="Arial Narrow" w:cs="Times New Roman"/>
        </w:rPr>
        <w:t>ing</w:t>
      </w:r>
      <w:r w:rsidR="007565E1" w:rsidRPr="00A66863">
        <w:rPr>
          <w:rFonts w:ascii="Arial Narrow" w:hAnsi="Arial Narrow" w:cs="Times New Roman"/>
        </w:rPr>
        <w:t xml:space="preserve"> </w:t>
      </w:r>
      <w:r w:rsidR="007565E1">
        <w:rPr>
          <w:rFonts w:ascii="Arial Narrow" w:hAnsi="Arial Narrow" w:cs="Times New Roman"/>
        </w:rPr>
        <w:t>of</w:t>
      </w:r>
      <w:r w:rsidR="007565E1" w:rsidRPr="00A66863">
        <w:rPr>
          <w:rFonts w:ascii="Arial Narrow" w:hAnsi="Arial Narrow" w:cs="Times New Roman"/>
        </w:rPr>
        <w:t xml:space="preserve"> business activities with respect to </w:t>
      </w:r>
      <w:r w:rsidR="007565E1">
        <w:rPr>
          <w:rFonts w:ascii="Arial Narrow" w:hAnsi="Arial Narrow" w:cs="Times New Roman"/>
        </w:rPr>
        <w:t>these requirements</w:t>
      </w:r>
      <w:r w:rsidR="007565E1" w:rsidRPr="00A66863">
        <w:rPr>
          <w:rFonts w:ascii="Arial Narrow" w:hAnsi="Arial Narrow" w:cs="Times New Roman"/>
        </w:rPr>
        <w:t xml:space="preserve">. </w:t>
      </w:r>
      <w:r w:rsidR="00295130">
        <w:rPr>
          <w:rFonts w:ascii="Arial Narrow" w:hAnsi="Arial Narrow" w:cs="Arial"/>
          <w:color w:val="1A1A1A"/>
        </w:rPr>
        <w:t>When</w:t>
      </w:r>
      <w:r w:rsidR="007565E1">
        <w:rPr>
          <w:rFonts w:ascii="Arial Narrow" w:hAnsi="Arial Narrow"/>
        </w:rPr>
        <w:t xml:space="preserve"> business </w:t>
      </w:r>
      <w:r w:rsidR="00295130">
        <w:rPr>
          <w:rFonts w:ascii="Arial Narrow" w:hAnsi="Arial Narrow"/>
        </w:rPr>
        <w:t xml:space="preserve">are trained properly, coached from the sidelines, and monitored appropriately, they are often in the best position to make those tasks compliant, and to maintain them that way. More, they are also in the best position to ensure that those tasks are efficient and best in line with business dynamics, strategies and processes. </w:t>
      </w:r>
      <w:r w:rsidR="009241F3" w:rsidRPr="009F0955">
        <w:rPr>
          <w:rFonts w:ascii="Arial Narrow" w:hAnsi="Arial Narrow" w:cs="Arial"/>
          <w:color w:val="1A1A1A"/>
        </w:rPr>
        <w:t>W</w:t>
      </w:r>
      <w:r w:rsidR="00295130">
        <w:rPr>
          <w:rFonts w:ascii="Arial Narrow" w:hAnsi="Arial Narrow" w:cs="Arial"/>
          <w:color w:val="1A1A1A"/>
        </w:rPr>
        <w:t>ith</w:t>
      </w:r>
      <w:r w:rsidR="009241F3" w:rsidRPr="009F0955">
        <w:rPr>
          <w:rFonts w:ascii="Arial Narrow" w:hAnsi="Arial Narrow" w:cs="Arial"/>
          <w:color w:val="1A1A1A"/>
        </w:rPr>
        <w:t xml:space="preserve"> authority, responsibility</w:t>
      </w:r>
      <w:r w:rsidR="00295130">
        <w:rPr>
          <w:rFonts w:ascii="Arial Narrow" w:hAnsi="Arial Narrow" w:cs="Arial"/>
          <w:color w:val="1A1A1A"/>
        </w:rPr>
        <w:t>, expertise, experience</w:t>
      </w:r>
      <w:r w:rsidR="009241F3" w:rsidRPr="009F0955">
        <w:rPr>
          <w:rFonts w:ascii="Arial Narrow" w:hAnsi="Arial Narrow" w:cs="Arial"/>
          <w:color w:val="1A1A1A"/>
        </w:rPr>
        <w:t xml:space="preserve"> and accountability </w:t>
      </w:r>
      <w:r w:rsidR="00295130">
        <w:rPr>
          <w:rFonts w:ascii="Arial Narrow" w:hAnsi="Arial Narrow" w:cs="Arial"/>
          <w:color w:val="1A1A1A"/>
        </w:rPr>
        <w:t xml:space="preserve">all present and </w:t>
      </w:r>
      <w:r w:rsidR="009241F3" w:rsidRPr="009F0955">
        <w:rPr>
          <w:rFonts w:ascii="Arial Narrow" w:hAnsi="Arial Narrow" w:cs="Arial"/>
          <w:color w:val="1A1A1A"/>
        </w:rPr>
        <w:t xml:space="preserve">aligned, organizations thrive. Combined with appropriate doses of </w:t>
      </w:r>
      <w:r w:rsidR="00295130">
        <w:rPr>
          <w:rFonts w:ascii="Arial Narrow" w:hAnsi="Arial Narrow" w:cs="Arial"/>
          <w:color w:val="1A1A1A"/>
        </w:rPr>
        <w:t xml:space="preserve">legal and compliance training and coaching, </w:t>
      </w:r>
      <w:r w:rsidR="009241F3" w:rsidRPr="009F0955">
        <w:rPr>
          <w:rFonts w:ascii="Arial Narrow" w:hAnsi="Arial Narrow" w:cs="Arial"/>
          <w:color w:val="1A1A1A"/>
        </w:rPr>
        <w:t xml:space="preserve">monitoring and reporting, and compliance </w:t>
      </w:r>
      <w:r w:rsidR="00D33B4A">
        <w:rPr>
          <w:rFonts w:ascii="Arial Narrow" w:hAnsi="Arial Narrow" w:cs="Arial"/>
          <w:color w:val="1A1A1A"/>
        </w:rPr>
        <w:t xml:space="preserve">and legal </w:t>
      </w:r>
      <w:r w:rsidR="009241F3" w:rsidRPr="009F0955">
        <w:rPr>
          <w:rFonts w:ascii="Arial Narrow" w:hAnsi="Arial Narrow" w:cs="Arial"/>
          <w:color w:val="1A1A1A"/>
        </w:rPr>
        <w:t xml:space="preserve">functions </w:t>
      </w:r>
      <w:r w:rsidR="00D33B4A">
        <w:rPr>
          <w:rFonts w:ascii="Arial Narrow" w:hAnsi="Arial Narrow" w:cs="Arial"/>
          <w:color w:val="1A1A1A"/>
        </w:rPr>
        <w:t>working in th</w:t>
      </w:r>
      <w:r w:rsidR="00295130">
        <w:rPr>
          <w:rFonts w:ascii="Arial Narrow" w:hAnsi="Arial Narrow" w:cs="Arial"/>
          <w:color w:val="1A1A1A"/>
        </w:rPr>
        <w:t>os</w:t>
      </w:r>
      <w:r w:rsidR="00D33B4A">
        <w:rPr>
          <w:rFonts w:ascii="Arial Narrow" w:hAnsi="Arial Narrow" w:cs="Arial"/>
          <w:color w:val="1A1A1A"/>
        </w:rPr>
        <w:t xml:space="preserve">e </w:t>
      </w:r>
      <w:r w:rsidR="00295130">
        <w:rPr>
          <w:rFonts w:ascii="Arial Narrow" w:hAnsi="Arial Narrow" w:cs="Arial"/>
          <w:color w:val="1A1A1A"/>
        </w:rPr>
        <w:t>c</w:t>
      </w:r>
      <w:r w:rsidR="00D33B4A">
        <w:rPr>
          <w:rFonts w:ascii="Arial Narrow" w:hAnsi="Arial Narrow" w:cs="Arial"/>
          <w:color w:val="1A1A1A"/>
        </w:rPr>
        <w:t>ontext</w:t>
      </w:r>
      <w:r w:rsidR="00295130">
        <w:rPr>
          <w:rFonts w:ascii="Arial Narrow" w:hAnsi="Arial Narrow" w:cs="Arial"/>
          <w:color w:val="1A1A1A"/>
        </w:rPr>
        <w:t>s</w:t>
      </w:r>
      <w:r w:rsidR="00D33B4A">
        <w:rPr>
          <w:rFonts w:ascii="Arial Narrow" w:hAnsi="Arial Narrow" w:cs="Arial"/>
          <w:color w:val="1A1A1A"/>
        </w:rPr>
        <w:t xml:space="preserve"> </w:t>
      </w:r>
      <w:r w:rsidR="009241F3" w:rsidRPr="009F0955">
        <w:rPr>
          <w:rFonts w:ascii="Arial Narrow" w:hAnsi="Arial Narrow" w:cs="Arial"/>
          <w:color w:val="1A1A1A"/>
        </w:rPr>
        <w:t>thrive as well.</w:t>
      </w:r>
    </w:p>
    <w:p w14:paraId="52A459A2" w14:textId="464BD9C8" w:rsidR="00C57AB4" w:rsidRDefault="00C57AB4">
      <w:pPr>
        <w:rPr>
          <w:rFonts w:ascii="Arial Narrow" w:hAnsi="Arial Narrow" w:cs="Arial"/>
          <w:b/>
          <w:color w:val="1A1A1A"/>
          <w:u w:val="single"/>
        </w:rPr>
      </w:pPr>
    </w:p>
    <w:p w14:paraId="249B3BA2" w14:textId="50CFE581" w:rsidR="000C3307" w:rsidRPr="00092A80" w:rsidRDefault="000C3307" w:rsidP="000C3307">
      <w:pPr>
        <w:jc w:val="center"/>
        <w:rPr>
          <w:rFonts w:ascii="Arial Narrow" w:hAnsi="Arial Narrow" w:cs="Arial"/>
          <w:b/>
          <w:color w:val="1A1A1A"/>
          <w:u w:val="single"/>
        </w:rPr>
      </w:pPr>
      <w:r w:rsidRPr="00092A80">
        <w:rPr>
          <w:rFonts w:ascii="Arial Narrow" w:hAnsi="Arial Narrow" w:cs="Arial"/>
          <w:b/>
          <w:color w:val="1A1A1A"/>
          <w:u w:val="single"/>
        </w:rPr>
        <w:t>Session Reference Materials</w:t>
      </w:r>
    </w:p>
    <w:p w14:paraId="61CCC763" w14:textId="77777777" w:rsidR="000C3307" w:rsidRPr="00092A80" w:rsidRDefault="000C3307" w:rsidP="000C3307">
      <w:pPr>
        <w:jc w:val="center"/>
        <w:rPr>
          <w:rFonts w:ascii="Arial Narrow" w:hAnsi="Arial Narrow" w:cs="Arial"/>
          <w:color w:val="1A1A1A"/>
          <w:u w:val="single"/>
        </w:rPr>
      </w:pPr>
    </w:p>
    <w:p w14:paraId="0809FEC7" w14:textId="77777777" w:rsidR="000C3307" w:rsidRPr="00092A80" w:rsidRDefault="000C3307" w:rsidP="00092A80">
      <w:pPr>
        <w:rPr>
          <w:rFonts w:ascii="Arial Narrow" w:hAnsi="Arial Narrow" w:cs="Arial"/>
          <w:color w:val="1A1A1A"/>
        </w:rPr>
      </w:pPr>
    </w:p>
    <w:p w14:paraId="03DD5FD1" w14:textId="384FE74F" w:rsidR="00092A80" w:rsidRPr="00092A80" w:rsidRDefault="00092A80" w:rsidP="00092A80">
      <w:pPr>
        <w:rPr>
          <w:rFonts w:ascii="Arial Narrow" w:hAnsi="Arial Narrow" w:cs="Arial"/>
          <w:color w:val="1A1A1A"/>
          <w:u w:val="single"/>
        </w:rPr>
      </w:pPr>
      <w:r w:rsidRPr="00092A80">
        <w:rPr>
          <w:rFonts w:ascii="Arial Narrow" w:hAnsi="Arial Narrow" w:cs="Arial"/>
          <w:color w:val="1A1A1A"/>
          <w:u w:val="single"/>
        </w:rPr>
        <w:t>Common Board Resolution Language</w:t>
      </w:r>
    </w:p>
    <w:p w14:paraId="5EB18028" w14:textId="77777777" w:rsidR="00092A80" w:rsidRPr="00092A80" w:rsidRDefault="00092A80" w:rsidP="00092A80">
      <w:pPr>
        <w:rPr>
          <w:rFonts w:ascii="Arial Narrow" w:hAnsi="Arial Narrow" w:cs="Arial"/>
          <w:color w:val="1A1A1A"/>
        </w:rPr>
      </w:pPr>
    </w:p>
    <w:p w14:paraId="04063AAD" w14:textId="77777777" w:rsidR="00092A80" w:rsidRPr="00092A80" w:rsidRDefault="00092A80" w:rsidP="00092A80">
      <w:pPr>
        <w:rPr>
          <w:rFonts w:ascii="Arial Narrow" w:hAnsi="Arial Narrow" w:cs="Arial"/>
          <w:color w:val="1A1A1A"/>
        </w:rPr>
      </w:pPr>
      <w:r w:rsidRPr="00092A80">
        <w:rPr>
          <w:rFonts w:ascii="Arial Narrow" w:hAnsi="Arial Narrow" w:cs="Arial"/>
          <w:color w:val="1A1A1A"/>
        </w:rPr>
        <w:t xml:space="preserve">The Board of Directors has made a </w:t>
      </w:r>
      <w:r w:rsidRPr="00092A80">
        <w:rPr>
          <w:rFonts w:ascii="Arial Narrow" w:hAnsi="Arial Narrow" w:cs="Arial"/>
          <w:bCs/>
          <w:color w:val="1A1A1A"/>
        </w:rPr>
        <w:t xml:space="preserve">reasonable inquiry </w:t>
      </w:r>
      <w:r w:rsidRPr="00092A80">
        <w:rPr>
          <w:rFonts w:ascii="Arial Narrow" w:hAnsi="Arial Narrow" w:cs="Arial"/>
          <w:color w:val="1A1A1A"/>
        </w:rPr>
        <w:t xml:space="preserve">into the operations of []’s Compliance Program including the performance of the Chief Compliance Officer and the Compliance Committee. Based on its inquiry, the Board has concluded that, to the best of its knowledge, [] has implemented an </w:t>
      </w:r>
      <w:r w:rsidRPr="00092A80">
        <w:rPr>
          <w:rFonts w:ascii="Arial Narrow" w:hAnsi="Arial Narrow" w:cs="Arial"/>
          <w:bCs/>
          <w:color w:val="1A1A1A"/>
        </w:rPr>
        <w:t xml:space="preserve">effective Compliance Program </w:t>
      </w:r>
      <w:r w:rsidRPr="00092A80">
        <w:rPr>
          <w:rFonts w:ascii="Arial Narrow" w:hAnsi="Arial Narrow" w:cs="Arial"/>
          <w:color w:val="1A1A1A"/>
        </w:rPr>
        <w:t>to meet the Federal health care program requirements and the obligations of the CIA.</w:t>
      </w:r>
    </w:p>
    <w:p w14:paraId="268430C6" w14:textId="77777777" w:rsidR="00092A80" w:rsidRPr="00092A80" w:rsidRDefault="00092A80" w:rsidP="00092A80">
      <w:pPr>
        <w:rPr>
          <w:rFonts w:ascii="Arial Narrow" w:hAnsi="Arial Narrow" w:cs="Arial"/>
          <w:color w:val="1A1A1A"/>
        </w:rPr>
      </w:pPr>
    </w:p>
    <w:p w14:paraId="3E264E57" w14:textId="00AD36EC" w:rsidR="00092A80" w:rsidRPr="00092A80" w:rsidRDefault="00092A80" w:rsidP="00092A80">
      <w:pPr>
        <w:rPr>
          <w:rFonts w:ascii="Arial Narrow" w:hAnsi="Arial Narrow" w:cs="Arial"/>
          <w:color w:val="1A1A1A"/>
          <w:u w:val="single"/>
        </w:rPr>
      </w:pPr>
      <w:r w:rsidRPr="00092A80">
        <w:rPr>
          <w:rFonts w:ascii="Arial Narrow" w:hAnsi="Arial Narrow" w:cs="Arial"/>
          <w:color w:val="1A1A1A"/>
          <w:u w:val="single"/>
        </w:rPr>
        <w:t>Common Independent Director Language</w:t>
      </w:r>
    </w:p>
    <w:p w14:paraId="1020B44F" w14:textId="77777777" w:rsidR="00092A80" w:rsidRPr="00092A80" w:rsidRDefault="00092A80" w:rsidP="00092A80">
      <w:pPr>
        <w:rPr>
          <w:rFonts w:ascii="Arial Narrow" w:hAnsi="Arial Narrow" w:cs="Arial"/>
          <w:color w:val="1A1A1A"/>
          <w:u w:val="single"/>
        </w:rPr>
      </w:pPr>
    </w:p>
    <w:p w14:paraId="63EE27BA" w14:textId="77777777" w:rsidR="00092A80" w:rsidRPr="00092A80" w:rsidRDefault="00092A80" w:rsidP="00092A80">
      <w:pPr>
        <w:rPr>
          <w:rFonts w:ascii="Arial Narrow" w:hAnsi="Arial Narrow" w:cs="Arial"/>
          <w:color w:val="1A1A1A"/>
        </w:rPr>
      </w:pPr>
      <w:r w:rsidRPr="00092A80">
        <w:rPr>
          <w:rFonts w:ascii="Arial Narrow" w:hAnsi="Arial Narrow" w:cs="Arial"/>
          <w:color w:val="1A1A1A"/>
        </w:rPr>
        <w:t xml:space="preserve">The Board of Directors currently has, and shall maintain during the term of the CIA, a Committee or other authorized subcommittee comprised of </w:t>
      </w:r>
      <w:r w:rsidRPr="00092A80">
        <w:rPr>
          <w:rFonts w:ascii="Arial Narrow" w:hAnsi="Arial Narrow" w:cs="Arial"/>
          <w:bCs/>
          <w:color w:val="1A1A1A"/>
        </w:rPr>
        <w:t xml:space="preserve">independent (i.e., non-executive) directors </w:t>
      </w:r>
      <w:r w:rsidRPr="00092A80">
        <w:rPr>
          <w:rFonts w:ascii="Arial Narrow" w:hAnsi="Arial Narrow" w:cs="Arial"/>
          <w:color w:val="1A1A1A"/>
        </w:rPr>
        <w:t xml:space="preserve">(hereinafter Board Committee). The Board Committee is responsible for the </w:t>
      </w:r>
      <w:r w:rsidRPr="00092A80">
        <w:rPr>
          <w:rFonts w:ascii="Arial Narrow" w:hAnsi="Arial Narrow" w:cs="Arial"/>
          <w:bCs/>
          <w:color w:val="1A1A1A"/>
        </w:rPr>
        <w:t>review and oversight of matters related to compliance</w:t>
      </w:r>
      <w:r w:rsidRPr="00092A80">
        <w:rPr>
          <w:rFonts w:ascii="Arial Narrow" w:hAnsi="Arial Narrow" w:cs="Arial"/>
          <w:color w:val="1A1A1A"/>
        </w:rPr>
        <w:t xml:space="preserve"> with Federal health care program requirements and the obligations of this CIA. </w:t>
      </w:r>
    </w:p>
    <w:p w14:paraId="51B1F37F" w14:textId="77777777" w:rsidR="00092A80" w:rsidRDefault="00092A80" w:rsidP="00092A80">
      <w:pPr>
        <w:rPr>
          <w:rFonts w:ascii="Arial Narrow" w:hAnsi="Arial Narrow" w:cs="Arial"/>
          <w:color w:val="1A1A1A"/>
        </w:rPr>
      </w:pPr>
    </w:p>
    <w:p w14:paraId="66450064" w14:textId="002CF51E" w:rsidR="00092A80" w:rsidRDefault="00092A80" w:rsidP="00092A80">
      <w:pPr>
        <w:rPr>
          <w:rFonts w:ascii="Arial Narrow" w:hAnsi="Arial Narrow" w:cs="Arial"/>
          <w:color w:val="1A1A1A"/>
          <w:u w:val="single"/>
        </w:rPr>
      </w:pPr>
      <w:r w:rsidRPr="00092A80">
        <w:rPr>
          <w:rFonts w:ascii="Arial Narrow" w:hAnsi="Arial Narrow" w:cs="Arial"/>
          <w:color w:val="1A1A1A"/>
          <w:u w:val="single"/>
        </w:rPr>
        <w:t>Common Independent Expert Language</w:t>
      </w:r>
    </w:p>
    <w:p w14:paraId="57C42BE1" w14:textId="77777777" w:rsidR="00092A80" w:rsidRPr="00092A80" w:rsidRDefault="00092A80" w:rsidP="00092A80">
      <w:pPr>
        <w:rPr>
          <w:rFonts w:ascii="Arial Narrow" w:hAnsi="Arial Narrow" w:cs="Arial"/>
          <w:color w:val="1A1A1A"/>
        </w:rPr>
      </w:pPr>
    </w:p>
    <w:p w14:paraId="237B65C0" w14:textId="77777777" w:rsidR="00092A80" w:rsidRPr="00092A80" w:rsidRDefault="00092A80" w:rsidP="00092A80">
      <w:pPr>
        <w:rPr>
          <w:rFonts w:ascii="Arial Narrow" w:hAnsi="Arial Narrow" w:cs="Arial"/>
          <w:color w:val="1A1A1A"/>
        </w:rPr>
      </w:pPr>
      <w:r w:rsidRPr="00092A80">
        <w:rPr>
          <w:rFonts w:ascii="Arial Narrow" w:hAnsi="Arial Narrow" w:cs="Arial"/>
          <w:color w:val="1A1A1A"/>
        </w:rPr>
        <w:t xml:space="preserve">The Board of Directors shall arrange for the performance of </w:t>
      </w:r>
      <w:r w:rsidRPr="00092A80">
        <w:rPr>
          <w:rFonts w:ascii="Arial Narrow" w:hAnsi="Arial Narrow" w:cs="Arial"/>
          <w:bCs/>
          <w:color w:val="1A1A1A"/>
        </w:rPr>
        <w:t xml:space="preserve">a review of the effectiveness of []’s Compliance Program </w:t>
      </w:r>
      <w:r w:rsidRPr="00092A80">
        <w:rPr>
          <w:rFonts w:ascii="Arial Narrow" w:hAnsi="Arial Narrow" w:cs="Arial"/>
          <w:color w:val="1A1A1A"/>
        </w:rPr>
        <w:t xml:space="preserve">for each Reporting Period. The Board shall retain an </w:t>
      </w:r>
      <w:r w:rsidRPr="00092A80">
        <w:rPr>
          <w:rFonts w:ascii="Arial Narrow" w:hAnsi="Arial Narrow" w:cs="Arial"/>
          <w:bCs/>
          <w:color w:val="1A1A1A"/>
        </w:rPr>
        <w:t xml:space="preserve">independent individual or entity with expertise in compliance </w:t>
      </w:r>
      <w:r w:rsidRPr="00092A80">
        <w:rPr>
          <w:rFonts w:ascii="Arial Narrow" w:hAnsi="Arial Narrow" w:cs="Arial"/>
          <w:color w:val="1A1A1A"/>
        </w:rPr>
        <w:t xml:space="preserve">with Federal health care program requirements to perform this review. This Compliance Expert shall create a work plan, perform the review, and prepare a written report. The written report shall include a description of the review and shall include recommendations with respect to the Compliance Program. </w:t>
      </w:r>
    </w:p>
    <w:p w14:paraId="1BD4487C" w14:textId="77777777" w:rsidR="00092A80" w:rsidRDefault="00092A80" w:rsidP="00092A80">
      <w:pPr>
        <w:rPr>
          <w:rFonts w:ascii="Arial Narrow" w:hAnsi="Arial Narrow" w:cs="Arial"/>
          <w:color w:val="1A1A1A"/>
          <w:u w:val="single"/>
        </w:rPr>
      </w:pPr>
    </w:p>
    <w:p w14:paraId="750ADCA6" w14:textId="443847FF" w:rsidR="00092A80" w:rsidRDefault="0066636B" w:rsidP="00092A80">
      <w:pPr>
        <w:rPr>
          <w:rFonts w:ascii="Arial Narrow" w:hAnsi="Arial Narrow" w:cs="Arial"/>
          <w:color w:val="1A1A1A"/>
        </w:rPr>
      </w:pPr>
      <w:r>
        <w:rPr>
          <w:rFonts w:ascii="Arial Narrow" w:hAnsi="Arial Narrow" w:cs="Arial"/>
          <w:color w:val="1A1A1A"/>
          <w:u w:val="single"/>
        </w:rPr>
        <w:t>Common Senior Executive Certification Language</w:t>
      </w:r>
    </w:p>
    <w:p w14:paraId="3E2EC7B2" w14:textId="77777777" w:rsidR="0066636B" w:rsidRDefault="0066636B" w:rsidP="00092A80">
      <w:pPr>
        <w:rPr>
          <w:rFonts w:ascii="Arial Narrow" w:hAnsi="Arial Narrow" w:cs="Arial"/>
          <w:color w:val="1A1A1A"/>
        </w:rPr>
      </w:pPr>
    </w:p>
    <w:p w14:paraId="485880B7" w14:textId="77777777" w:rsidR="0066636B" w:rsidRPr="0066636B" w:rsidRDefault="0066636B" w:rsidP="0066636B">
      <w:pPr>
        <w:rPr>
          <w:rFonts w:ascii="Arial Narrow" w:hAnsi="Arial Narrow" w:cs="Arial"/>
          <w:color w:val="1A1A1A"/>
        </w:rPr>
      </w:pPr>
      <w:r w:rsidRPr="0066636B">
        <w:rPr>
          <w:rFonts w:ascii="Arial Narrow" w:hAnsi="Arial Narrow" w:cs="Arial"/>
          <w:color w:val="1A1A1A"/>
        </w:rPr>
        <w:t>I have been trained on and</w:t>
      </w:r>
      <w:r w:rsidRPr="0066636B">
        <w:rPr>
          <w:rFonts w:ascii="Arial Narrow" w:hAnsi="Arial Narrow" w:cs="Arial"/>
          <w:bCs/>
          <w:color w:val="1A1A1A"/>
        </w:rPr>
        <w:t xml:space="preserve"> understand the compliance requirements and responsibilities </w:t>
      </w:r>
      <w:r w:rsidRPr="0066636B">
        <w:rPr>
          <w:rFonts w:ascii="Arial Narrow" w:hAnsi="Arial Narrow" w:cs="Arial"/>
          <w:color w:val="1A1A1A"/>
        </w:rPr>
        <w:t xml:space="preserve">as they relate to (department or functional area), an area under my supervision. </w:t>
      </w:r>
      <w:r w:rsidRPr="0066636B">
        <w:rPr>
          <w:rFonts w:ascii="Arial Narrow" w:hAnsi="Arial Narrow" w:cs="Arial"/>
          <w:bCs/>
          <w:color w:val="1A1A1A"/>
        </w:rPr>
        <w:t xml:space="preserve">My job responsibilities include ensuring </w:t>
      </w:r>
      <w:r w:rsidRPr="0066636B">
        <w:rPr>
          <w:rFonts w:ascii="Arial Narrow" w:hAnsi="Arial Narrow" w:cs="Arial"/>
          <w:bCs/>
          <w:color w:val="1A1A1A"/>
        </w:rPr>
        <w:lastRenderedPageBreak/>
        <w:t>compliance</w:t>
      </w:r>
      <w:r w:rsidRPr="0066636B">
        <w:rPr>
          <w:rFonts w:ascii="Arial Narrow" w:hAnsi="Arial Narrow" w:cs="Arial"/>
          <w:color w:val="1A1A1A"/>
        </w:rPr>
        <w:t xml:space="preserve"> with regard to the (department or functional area), and I have taken steps to</w:t>
      </w:r>
      <w:r w:rsidRPr="0066636B">
        <w:rPr>
          <w:rFonts w:ascii="Arial Narrow" w:hAnsi="Arial Narrow" w:cs="Arial"/>
          <w:bCs/>
          <w:color w:val="1A1A1A"/>
        </w:rPr>
        <w:t xml:space="preserve"> promote </w:t>
      </w:r>
      <w:r w:rsidRPr="0066636B">
        <w:rPr>
          <w:rFonts w:ascii="Arial Narrow" w:hAnsi="Arial Narrow" w:cs="Arial"/>
          <w:color w:val="1A1A1A"/>
        </w:rPr>
        <w:t xml:space="preserve">such compliance. To the best of my knowledge, except as provided herein, the (department or functional area) of [] </w:t>
      </w:r>
      <w:r w:rsidRPr="0066636B">
        <w:rPr>
          <w:rFonts w:ascii="Arial Narrow" w:hAnsi="Arial Narrow" w:cs="Arial"/>
          <w:bCs/>
          <w:color w:val="1A1A1A"/>
        </w:rPr>
        <w:t>is in compliance</w:t>
      </w:r>
      <w:r w:rsidRPr="0066636B">
        <w:rPr>
          <w:rFonts w:ascii="Arial Narrow" w:hAnsi="Arial Narrow" w:cs="Arial"/>
          <w:color w:val="1A1A1A"/>
        </w:rPr>
        <w:t xml:space="preserve"> with all applicable Federal health care program requirements and the obligations of the CIA.</w:t>
      </w:r>
    </w:p>
    <w:p w14:paraId="23AFCB23" w14:textId="77777777" w:rsidR="0066636B" w:rsidRDefault="0066636B" w:rsidP="00092A80">
      <w:pPr>
        <w:rPr>
          <w:rFonts w:ascii="Arial Narrow" w:hAnsi="Arial Narrow" w:cs="Arial"/>
          <w:color w:val="1A1A1A"/>
        </w:rPr>
      </w:pPr>
    </w:p>
    <w:p w14:paraId="166311BE" w14:textId="6613DC50" w:rsidR="0066636B" w:rsidRPr="00216BD5" w:rsidRDefault="00781218" w:rsidP="00092A80">
      <w:pPr>
        <w:rPr>
          <w:rFonts w:ascii="Arial Narrow" w:hAnsi="Arial Narrow" w:cs="Arial"/>
          <w:color w:val="1A1A1A"/>
        </w:rPr>
      </w:pPr>
      <w:r w:rsidRPr="00216BD5">
        <w:rPr>
          <w:rFonts w:ascii="Arial Narrow" w:hAnsi="Arial Narrow" w:cs="Arial"/>
          <w:color w:val="1A1A1A"/>
          <w:u w:val="single"/>
        </w:rPr>
        <w:t>Common Language for Key Risk Areas</w:t>
      </w:r>
    </w:p>
    <w:p w14:paraId="22F7CED1" w14:textId="77777777" w:rsidR="00781218" w:rsidRPr="00216BD5" w:rsidRDefault="00781218" w:rsidP="00092A80">
      <w:pPr>
        <w:rPr>
          <w:rFonts w:ascii="Arial Narrow" w:hAnsi="Arial Narrow" w:cs="Arial"/>
          <w:color w:val="1A1A1A"/>
        </w:rPr>
      </w:pPr>
    </w:p>
    <w:p w14:paraId="43976372" w14:textId="77777777" w:rsidR="00781218" w:rsidRPr="00216BD5" w:rsidRDefault="00781218" w:rsidP="00781218">
      <w:pPr>
        <w:rPr>
          <w:rFonts w:ascii="Arial Narrow" w:hAnsi="Arial Narrow" w:cs="Arial"/>
          <w:color w:val="1A1A1A"/>
        </w:rPr>
      </w:pPr>
      <w:r w:rsidRPr="00216BD5">
        <w:rPr>
          <w:rFonts w:ascii="Arial Narrow" w:hAnsi="Arial Narrow" w:cs="Arial"/>
          <w:i/>
          <w:color w:val="1A1A1A"/>
        </w:rPr>
        <w:t>Product Promotion</w:t>
      </w:r>
      <w:r w:rsidRPr="00216BD5">
        <w:rPr>
          <w:rFonts w:ascii="Arial Narrow" w:hAnsi="Arial Narrow" w:cs="Arial"/>
          <w:color w:val="1A1A1A"/>
        </w:rPr>
        <w:t xml:space="preserve"> - [] will develop and implement mechanisms to </w:t>
      </w:r>
      <w:r w:rsidRPr="00216BD5">
        <w:rPr>
          <w:rFonts w:ascii="Arial Narrow" w:hAnsi="Arial Narrow" w:cs="Arial"/>
          <w:bCs/>
          <w:color w:val="1A1A1A"/>
        </w:rPr>
        <w:t xml:space="preserve">exclude compensation from sales </w:t>
      </w:r>
      <w:r w:rsidRPr="00216BD5">
        <w:rPr>
          <w:rFonts w:ascii="Arial Narrow" w:hAnsi="Arial Narrow" w:cs="Arial"/>
          <w:color w:val="1A1A1A"/>
        </w:rPr>
        <w:t>that may indicate off-label promotion.</w:t>
      </w:r>
    </w:p>
    <w:p w14:paraId="6358A0E5" w14:textId="77777777" w:rsidR="00781218" w:rsidRPr="00216BD5" w:rsidRDefault="00781218" w:rsidP="00781218">
      <w:pPr>
        <w:rPr>
          <w:rFonts w:ascii="Arial Narrow" w:hAnsi="Arial Narrow" w:cs="Arial"/>
          <w:color w:val="1A1A1A"/>
        </w:rPr>
      </w:pPr>
    </w:p>
    <w:p w14:paraId="21CEF744" w14:textId="77777777" w:rsidR="00781218" w:rsidRPr="00216BD5" w:rsidRDefault="00781218" w:rsidP="00781218">
      <w:pPr>
        <w:rPr>
          <w:rFonts w:ascii="Arial Narrow" w:hAnsi="Arial Narrow" w:cs="Arial"/>
          <w:color w:val="1A1A1A"/>
        </w:rPr>
      </w:pPr>
      <w:r w:rsidRPr="00216BD5">
        <w:rPr>
          <w:rFonts w:ascii="Arial Narrow" w:hAnsi="Arial Narrow" w:cs="Arial"/>
          <w:i/>
          <w:color w:val="1A1A1A"/>
        </w:rPr>
        <w:t>Sales/Marketing</w:t>
      </w:r>
      <w:r w:rsidRPr="00216BD5">
        <w:rPr>
          <w:rFonts w:ascii="Arial Narrow" w:hAnsi="Arial Narrow" w:cs="Arial"/>
          <w:color w:val="1A1A1A"/>
        </w:rPr>
        <w:t xml:space="preserve"> - [] will develop and implement policies and procedures designed to </w:t>
      </w:r>
      <w:r w:rsidRPr="00216BD5">
        <w:rPr>
          <w:rFonts w:ascii="Arial Narrow" w:hAnsi="Arial Narrow" w:cs="Arial"/>
          <w:bCs/>
          <w:color w:val="1A1A1A"/>
        </w:rPr>
        <w:t xml:space="preserve">ensure that financial incentives do not inappropriately motivate </w:t>
      </w:r>
      <w:r w:rsidRPr="00216BD5">
        <w:rPr>
          <w:rFonts w:ascii="Arial Narrow" w:hAnsi="Arial Narrow" w:cs="Arial"/>
          <w:color w:val="1A1A1A"/>
        </w:rPr>
        <w:t>such individuals to engage in improper promotion, sales, marketing, pricing, or contracting.</w:t>
      </w:r>
    </w:p>
    <w:p w14:paraId="6DCD9339" w14:textId="66EEAA7E" w:rsidR="00C57AB4" w:rsidRDefault="00C57AB4">
      <w:pPr>
        <w:rPr>
          <w:rFonts w:ascii="Arial Narrow" w:hAnsi="Arial Narrow" w:cs="Arial"/>
          <w:color w:val="1A1A1A"/>
          <w:u w:val="single"/>
        </w:rPr>
      </w:pPr>
    </w:p>
    <w:p w14:paraId="4EDD0ED0" w14:textId="52A3B7C3" w:rsidR="00781218" w:rsidRPr="00216BD5" w:rsidRDefault="00092BB2" w:rsidP="00781218">
      <w:pPr>
        <w:rPr>
          <w:rFonts w:ascii="Arial Narrow" w:hAnsi="Arial Narrow" w:cs="Arial"/>
          <w:color w:val="1A1A1A"/>
        </w:rPr>
      </w:pPr>
      <w:r w:rsidRPr="00216BD5">
        <w:rPr>
          <w:rFonts w:ascii="Arial Narrow" w:hAnsi="Arial Narrow" w:cs="Arial"/>
          <w:color w:val="1A1A1A"/>
          <w:u w:val="single"/>
        </w:rPr>
        <w:t>Common Executive Recoupment Language</w:t>
      </w:r>
    </w:p>
    <w:p w14:paraId="2AD169F6" w14:textId="4B00EFAF" w:rsidR="00216BD5" w:rsidRPr="00216BD5" w:rsidRDefault="00216BD5" w:rsidP="00216BD5">
      <w:pPr>
        <w:pStyle w:val="NormalWeb"/>
        <w:rPr>
          <w:rFonts w:ascii="Arial Narrow" w:hAnsi="Arial Narrow"/>
          <w:sz w:val="24"/>
          <w:szCs w:val="24"/>
        </w:rPr>
      </w:pPr>
      <w:r w:rsidRPr="00216BD5">
        <w:rPr>
          <w:rFonts w:ascii="Arial Narrow" w:hAnsi="Arial Narrow"/>
          <w:sz w:val="24"/>
          <w:szCs w:val="24"/>
        </w:rPr>
        <w:t xml:space="preserve">To the extent not already accomplished, </w:t>
      </w:r>
      <w:r>
        <w:rPr>
          <w:rFonts w:ascii="Arial Narrow" w:hAnsi="Arial Narrow"/>
          <w:sz w:val="24"/>
          <w:szCs w:val="24"/>
        </w:rPr>
        <w:t>[]</w:t>
      </w:r>
      <w:r w:rsidRPr="00216BD5">
        <w:rPr>
          <w:rFonts w:ascii="Arial Narrow" w:hAnsi="Arial Narrow"/>
          <w:sz w:val="24"/>
          <w:szCs w:val="24"/>
        </w:rPr>
        <w:t xml:space="preserve"> shall establish and maintain a financial recoupment program that puts at risk of forfeiture and recoupment an amount equivalent to up to 3 years of annual incentive compensation (including bonuses and </w:t>
      </w:r>
      <w:r>
        <w:rPr>
          <w:rFonts w:ascii="Arial Narrow" w:hAnsi="Arial Narrow"/>
          <w:sz w:val="24"/>
          <w:szCs w:val="24"/>
        </w:rPr>
        <w:t>E</w:t>
      </w:r>
      <w:r w:rsidRPr="00216BD5">
        <w:rPr>
          <w:rFonts w:ascii="Arial Narrow" w:hAnsi="Arial Narrow"/>
          <w:sz w:val="24"/>
          <w:szCs w:val="24"/>
        </w:rPr>
        <w:t xml:space="preserve">quity Awards) for any </w:t>
      </w:r>
      <w:r>
        <w:rPr>
          <w:rFonts w:ascii="Arial Narrow" w:hAnsi="Arial Narrow"/>
          <w:sz w:val="24"/>
          <w:szCs w:val="24"/>
        </w:rPr>
        <w:t>C</w:t>
      </w:r>
      <w:r w:rsidRPr="00216BD5">
        <w:rPr>
          <w:rFonts w:ascii="Arial Narrow" w:hAnsi="Arial Narrow"/>
          <w:sz w:val="24"/>
          <w:szCs w:val="24"/>
        </w:rPr>
        <w:t xml:space="preserve">overed </w:t>
      </w:r>
      <w:r>
        <w:rPr>
          <w:rFonts w:ascii="Arial Narrow" w:hAnsi="Arial Narrow"/>
          <w:sz w:val="24"/>
          <w:szCs w:val="24"/>
        </w:rPr>
        <w:t>E</w:t>
      </w:r>
      <w:r w:rsidRPr="00216BD5">
        <w:rPr>
          <w:rFonts w:ascii="Arial Narrow" w:hAnsi="Arial Narrow"/>
          <w:sz w:val="24"/>
          <w:szCs w:val="24"/>
        </w:rPr>
        <w:t xml:space="preserve">xecutive (defined below in Paragraph A) who is the subject of an Affirmative Recoupment Determination (as defined below in Paragraph C). This program shall be known as the Executive Financial Recoupment Program. This recoupment program shall apply to Covered Executives who are either current or former at the time of a Recoupment Determination. </w:t>
      </w:r>
    </w:p>
    <w:p w14:paraId="3EDAC401" w14:textId="16307ACB" w:rsidR="00216BD5" w:rsidRPr="00216BD5" w:rsidRDefault="00216BD5" w:rsidP="00216BD5">
      <w:pPr>
        <w:pStyle w:val="NormalWeb"/>
        <w:rPr>
          <w:rFonts w:ascii="Arial Narrow" w:hAnsi="Arial Narrow"/>
          <w:sz w:val="24"/>
          <w:szCs w:val="24"/>
        </w:rPr>
      </w:pPr>
      <w:r>
        <w:rPr>
          <w:rFonts w:ascii="Arial Narrow" w:hAnsi="Arial Narrow"/>
          <w:sz w:val="24"/>
          <w:szCs w:val="24"/>
        </w:rPr>
        <w:t xml:space="preserve">[] </w:t>
      </w:r>
      <w:r w:rsidRPr="00216BD5">
        <w:rPr>
          <w:rFonts w:ascii="Arial Narrow" w:hAnsi="Arial Narrow"/>
          <w:sz w:val="24"/>
          <w:szCs w:val="24"/>
        </w:rPr>
        <w:t xml:space="preserve">shall establish policies and procedures (and modify employment and other contracts as necessary) to provide that annual incentive compensation for each Covered Executive is at risk of forfeiture in the event of misconduct that is discovered </w:t>
      </w:r>
      <w:r>
        <w:rPr>
          <w:rFonts w:ascii="Arial Narrow" w:hAnsi="Arial Narrow"/>
          <w:sz w:val="24"/>
          <w:szCs w:val="24"/>
        </w:rPr>
        <w:t>b</w:t>
      </w:r>
      <w:r w:rsidRPr="00216BD5">
        <w:rPr>
          <w:rFonts w:ascii="Arial Narrow" w:hAnsi="Arial Narrow"/>
          <w:sz w:val="24"/>
          <w:szCs w:val="24"/>
        </w:rPr>
        <w:t xml:space="preserve">efore the bonus is paid. In the event of misconduct by any Covered Executive, </w:t>
      </w:r>
      <w:r>
        <w:rPr>
          <w:rFonts w:ascii="Arial Narrow" w:hAnsi="Arial Narrow"/>
          <w:sz w:val="24"/>
          <w:szCs w:val="24"/>
        </w:rPr>
        <w:t>[]</w:t>
      </w:r>
      <w:r w:rsidRPr="00216BD5">
        <w:rPr>
          <w:rFonts w:ascii="Arial Narrow" w:hAnsi="Arial Narrow"/>
          <w:sz w:val="24"/>
          <w:szCs w:val="24"/>
        </w:rPr>
        <w:t xml:space="preserve"> shall also reserve the right and full discretion to void and forfeit any unvested stock options, unvested stock appreciation rights, unvested deferred share units, and other unvested rights to receive company common stock (collectively, “Equity Awards”). If </w:t>
      </w:r>
      <w:r>
        <w:rPr>
          <w:rFonts w:ascii="Arial Narrow" w:hAnsi="Arial Narrow"/>
          <w:sz w:val="24"/>
          <w:szCs w:val="24"/>
        </w:rPr>
        <w:t>[]</w:t>
      </w:r>
      <w:r w:rsidRPr="00216BD5">
        <w:rPr>
          <w:rFonts w:ascii="Arial Narrow" w:hAnsi="Arial Narrow"/>
          <w:sz w:val="24"/>
          <w:szCs w:val="24"/>
        </w:rPr>
        <w:t xml:space="preserve"> discovers any misconduct that would implicate the forfeitures described in this Paragraph by a Covered Executive, it shall evaluate the situation and make a determination about whether any forfeiture, and the terms of such forfeiture, shall be implemented. </w:t>
      </w:r>
    </w:p>
    <w:p w14:paraId="699E38B2" w14:textId="0352B017" w:rsidR="00216BD5" w:rsidRPr="00216BD5" w:rsidRDefault="00216BD5" w:rsidP="00216BD5">
      <w:pPr>
        <w:pStyle w:val="NormalWeb"/>
        <w:rPr>
          <w:rFonts w:ascii="Arial Narrow" w:hAnsi="Arial Narrow"/>
          <w:sz w:val="24"/>
          <w:szCs w:val="24"/>
        </w:rPr>
      </w:pPr>
      <w:r w:rsidRPr="00216BD5">
        <w:rPr>
          <w:rFonts w:ascii="Arial Narrow" w:hAnsi="Arial Narrow"/>
          <w:sz w:val="24"/>
          <w:szCs w:val="24"/>
        </w:rPr>
        <w:t xml:space="preserve">In addition, </w:t>
      </w:r>
      <w:r>
        <w:rPr>
          <w:rFonts w:ascii="Arial Narrow" w:hAnsi="Arial Narrow"/>
          <w:sz w:val="24"/>
          <w:szCs w:val="24"/>
        </w:rPr>
        <w:t>[]</w:t>
      </w:r>
      <w:r w:rsidRPr="00216BD5">
        <w:rPr>
          <w:rFonts w:ascii="Arial Narrow" w:hAnsi="Arial Narrow"/>
          <w:sz w:val="24"/>
          <w:szCs w:val="24"/>
        </w:rPr>
        <w:t xml:space="preserve"> shall modify and supplement their annual bonus plans applicable to a Covered Executive (and any employment agreements, as appropriate) by imposing the following eligibility and repayment conditions on future bonuses and Equity Awards and making the additional remedies discussed below applicable to all executives</w:t>
      </w:r>
      <w:r>
        <w:rPr>
          <w:rFonts w:ascii="Arial Narrow" w:hAnsi="Arial Narrow"/>
          <w:sz w:val="24"/>
          <w:szCs w:val="24"/>
        </w:rPr>
        <w:t xml:space="preserve"> </w:t>
      </w:r>
      <w:r w:rsidRPr="00216BD5">
        <w:rPr>
          <w:rFonts w:ascii="Arial Narrow" w:hAnsi="Arial Narrow"/>
          <w:sz w:val="24"/>
          <w:szCs w:val="24"/>
        </w:rPr>
        <w:t xml:space="preserve">(collectively, “Covered Executives”). </w:t>
      </w:r>
      <w:r>
        <w:rPr>
          <w:rFonts w:ascii="Arial Narrow" w:hAnsi="Arial Narrow"/>
          <w:sz w:val="24"/>
          <w:szCs w:val="24"/>
        </w:rPr>
        <w:t>[]</w:t>
      </w:r>
      <w:r w:rsidRPr="00216BD5">
        <w:rPr>
          <w:rFonts w:ascii="Arial Narrow" w:hAnsi="Arial Narrow"/>
          <w:sz w:val="24"/>
          <w:szCs w:val="24"/>
        </w:rPr>
        <w:t xml:space="preserve"> shall implement Policies and Procedures and, as necessary, shall modify contracts with Covered Executives so that beginning no later than calendar year </w:t>
      </w:r>
      <w:r>
        <w:rPr>
          <w:rFonts w:ascii="Arial Narrow" w:hAnsi="Arial Narrow"/>
          <w:sz w:val="24"/>
          <w:szCs w:val="24"/>
        </w:rPr>
        <w:t>[]</w:t>
      </w:r>
      <w:r w:rsidRPr="00216BD5">
        <w:rPr>
          <w:rFonts w:ascii="Arial Narrow" w:hAnsi="Arial Narrow"/>
          <w:sz w:val="24"/>
          <w:szCs w:val="24"/>
        </w:rPr>
        <w:t xml:space="preserve"> the bonuses and Equity </w:t>
      </w:r>
    </w:p>
    <w:p w14:paraId="3BCBACDB" w14:textId="3FF8C64C" w:rsidR="00216BD5" w:rsidRPr="00216BD5" w:rsidRDefault="00216BD5" w:rsidP="00216BD5">
      <w:pPr>
        <w:pStyle w:val="NormalWeb"/>
        <w:rPr>
          <w:rFonts w:ascii="Arial Narrow" w:hAnsi="Arial Narrow"/>
          <w:sz w:val="24"/>
          <w:szCs w:val="24"/>
        </w:rPr>
      </w:pPr>
      <w:r>
        <w:rPr>
          <w:rFonts w:ascii="Arial Narrow" w:hAnsi="Arial Narrow"/>
          <w:sz w:val="24"/>
          <w:szCs w:val="24"/>
        </w:rPr>
        <w:t>A</w:t>
      </w:r>
      <w:r w:rsidRPr="00216BD5">
        <w:rPr>
          <w:rFonts w:ascii="Arial Narrow" w:hAnsi="Arial Narrow"/>
          <w:sz w:val="24"/>
          <w:szCs w:val="24"/>
        </w:rPr>
        <w:t xml:space="preserve">wards may be recouped if an Affirmative Recoupment Determination is made. The forfeiture and recoupment rights described in this Paragraph shall apply prospectively to Covered Executives beginning no later than the calendar year </w:t>
      </w:r>
      <w:r>
        <w:rPr>
          <w:rFonts w:ascii="Arial Narrow" w:hAnsi="Arial Narrow"/>
          <w:sz w:val="24"/>
          <w:szCs w:val="24"/>
        </w:rPr>
        <w:t>[]</w:t>
      </w:r>
      <w:r w:rsidRPr="00216BD5">
        <w:rPr>
          <w:rFonts w:ascii="Arial Narrow" w:hAnsi="Arial Narrow"/>
          <w:sz w:val="24"/>
          <w:szCs w:val="24"/>
        </w:rPr>
        <w:t xml:space="preserve"> bonus plan and Equity Award years. </w:t>
      </w:r>
    </w:p>
    <w:p w14:paraId="0FB3332A" w14:textId="7FBD6C70" w:rsidR="00216BD5" w:rsidRPr="00216BD5" w:rsidRDefault="00216BD5" w:rsidP="00216BD5">
      <w:pPr>
        <w:pStyle w:val="NormalWeb"/>
        <w:rPr>
          <w:rFonts w:ascii="Arial Narrow" w:hAnsi="Arial Narrow"/>
          <w:sz w:val="24"/>
          <w:szCs w:val="24"/>
        </w:rPr>
      </w:pPr>
      <w:r>
        <w:rPr>
          <w:rFonts w:ascii="Arial Narrow" w:hAnsi="Arial Narrow"/>
          <w:sz w:val="24"/>
          <w:szCs w:val="24"/>
        </w:rPr>
        <w:t xml:space="preserve">[] </w:t>
      </w:r>
      <w:r w:rsidRPr="00216BD5">
        <w:rPr>
          <w:rFonts w:ascii="Arial Narrow" w:hAnsi="Arial Narrow"/>
          <w:sz w:val="24"/>
          <w:szCs w:val="24"/>
        </w:rPr>
        <w:t xml:space="preserve">shall implement an eligibility and repayment condition on annual bonuses that shall be designed to survive both the payment of the bonus and the separation of a Covered Executive’s employment. This will </w:t>
      </w:r>
      <w:r w:rsidRPr="00216BD5">
        <w:rPr>
          <w:rFonts w:ascii="Arial Narrow" w:hAnsi="Arial Narrow"/>
          <w:sz w:val="24"/>
          <w:szCs w:val="24"/>
        </w:rPr>
        <w:lastRenderedPageBreak/>
        <w:t xml:space="preserve">allow </w:t>
      </w:r>
      <w:r>
        <w:rPr>
          <w:rFonts w:ascii="Arial Narrow" w:hAnsi="Arial Narrow"/>
          <w:sz w:val="24"/>
          <w:szCs w:val="24"/>
        </w:rPr>
        <w:t>[]</w:t>
      </w:r>
      <w:r w:rsidRPr="00216BD5">
        <w:rPr>
          <w:rFonts w:ascii="Arial Narrow" w:hAnsi="Arial Narrow"/>
          <w:sz w:val="24"/>
          <w:szCs w:val="24"/>
        </w:rPr>
        <w:t>, as a consequence of a Triggering Event, to pursue repayment from the Covered Executive of all or any portion of the bonus monies paid to the Covered Executive. To the extent permitted by controlling law, these bonus eligibility and repayment conditions will survive the payment of the Covered Executive’s bonus and the separation of the Covered Executive’s employment for a period of 3 years from the payment of the bonus for the plan year. If payment of any portion of a bonus is deferred on a mandatory or voluntary basis, the 3</w:t>
      </w:r>
      <w:r>
        <w:rPr>
          <w:rFonts w:ascii="Arial Narrow" w:hAnsi="Arial Narrow"/>
          <w:sz w:val="24"/>
          <w:szCs w:val="24"/>
        </w:rPr>
        <w:t>-</w:t>
      </w:r>
      <w:r w:rsidRPr="00216BD5">
        <w:rPr>
          <w:rFonts w:ascii="Arial Narrow" w:hAnsi="Arial Narrow"/>
          <w:sz w:val="24"/>
          <w:szCs w:val="24"/>
        </w:rPr>
        <w:t xml:space="preserve">year period shall be measured from the date the bonus would have been paid in the absence of deferral. </w:t>
      </w:r>
    </w:p>
    <w:p w14:paraId="68BE916C" w14:textId="623C5BD6" w:rsidR="00216BD5" w:rsidRPr="00216BD5" w:rsidRDefault="00216BD5" w:rsidP="00216BD5">
      <w:pPr>
        <w:pStyle w:val="NormalWeb"/>
        <w:rPr>
          <w:rFonts w:ascii="Arial Narrow" w:hAnsi="Arial Narrow"/>
          <w:sz w:val="24"/>
          <w:szCs w:val="24"/>
        </w:rPr>
      </w:pPr>
      <w:r w:rsidRPr="00216BD5">
        <w:rPr>
          <w:rFonts w:ascii="Arial Narrow" w:hAnsi="Arial Narrow"/>
          <w:sz w:val="24"/>
          <w:szCs w:val="24"/>
        </w:rPr>
        <w:t xml:space="preserve">If an Affirmative Recoupment Determination is made, </w:t>
      </w:r>
      <w:r>
        <w:rPr>
          <w:rFonts w:ascii="Arial Narrow" w:hAnsi="Arial Narrow"/>
          <w:sz w:val="24"/>
          <w:szCs w:val="24"/>
        </w:rPr>
        <w:t>[]</w:t>
      </w:r>
      <w:r w:rsidRPr="00216BD5">
        <w:rPr>
          <w:rFonts w:ascii="Arial Narrow" w:hAnsi="Arial Narrow"/>
          <w:sz w:val="24"/>
          <w:szCs w:val="24"/>
        </w:rPr>
        <w:t xml:space="preserve"> shall endeavor to collect repayment of any bonus from the Covered Executive through reasonable and appropriate means according to the terms of its bonus plan (or executive contract if applicable), and to the extent permitted by controlling law of the relevant jurisdiction. If necessary and appropriate to collect the repayment, </w:t>
      </w:r>
      <w:r>
        <w:rPr>
          <w:rFonts w:ascii="Arial Narrow" w:hAnsi="Arial Narrow"/>
          <w:sz w:val="24"/>
          <w:szCs w:val="24"/>
        </w:rPr>
        <w:t>[]</w:t>
      </w:r>
      <w:r w:rsidRPr="00216BD5">
        <w:rPr>
          <w:rFonts w:ascii="Arial Narrow" w:hAnsi="Arial Narrow"/>
          <w:sz w:val="24"/>
          <w:szCs w:val="24"/>
        </w:rPr>
        <w:t xml:space="preserve"> shall file suit against the Covered Executive unless good cause exists not to do so. For purposes of the Executive Financial Recoupment Program, good cause shall include, but not be limited to, a financial inability on the part of the Covered Executive to repay any recoupment amount or </w:t>
      </w:r>
      <w:r>
        <w:rPr>
          <w:rFonts w:ascii="Arial Narrow" w:hAnsi="Arial Narrow"/>
          <w:sz w:val="24"/>
          <w:szCs w:val="24"/>
        </w:rPr>
        <w:t>[]’s</w:t>
      </w:r>
      <w:r w:rsidRPr="00216BD5">
        <w:rPr>
          <w:rFonts w:ascii="Arial Narrow" w:hAnsi="Arial Narrow"/>
          <w:sz w:val="24"/>
          <w:szCs w:val="24"/>
        </w:rPr>
        <w:t xml:space="preserve"> inability to bring such a suit under the controlling law of the relevant jurisdiction. </w:t>
      </w:r>
    </w:p>
    <w:p w14:paraId="71DDBACB" w14:textId="14E45E26" w:rsidR="00216BD5" w:rsidRPr="00216BD5" w:rsidRDefault="00216BD5" w:rsidP="00216BD5">
      <w:pPr>
        <w:pStyle w:val="NormalWeb"/>
        <w:rPr>
          <w:rFonts w:ascii="Arial Narrow" w:hAnsi="Arial Narrow"/>
          <w:sz w:val="24"/>
          <w:szCs w:val="24"/>
        </w:rPr>
      </w:pPr>
      <w:r>
        <w:rPr>
          <w:rFonts w:ascii="Arial Narrow" w:hAnsi="Arial Narrow"/>
          <w:sz w:val="24"/>
          <w:szCs w:val="24"/>
        </w:rPr>
        <w:t>[]</w:t>
      </w:r>
      <w:r w:rsidRPr="00216BD5">
        <w:rPr>
          <w:rFonts w:ascii="Arial Narrow" w:hAnsi="Arial Narrow"/>
          <w:sz w:val="24"/>
          <w:szCs w:val="24"/>
        </w:rPr>
        <w:t xml:space="preserve"> shall implement an eligibility and repayment condition on </w:t>
      </w:r>
      <w:r>
        <w:rPr>
          <w:rFonts w:ascii="Arial Narrow" w:hAnsi="Arial Narrow"/>
          <w:sz w:val="24"/>
          <w:szCs w:val="24"/>
        </w:rPr>
        <w:t>[]’s Eq</w:t>
      </w:r>
      <w:r w:rsidRPr="00216BD5">
        <w:rPr>
          <w:rFonts w:ascii="Arial Narrow" w:hAnsi="Arial Narrow"/>
          <w:sz w:val="24"/>
          <w:szCs w:val="24"/>
        </w:rPr>
        <w:t xml:space="preserve">uity Awards designed to survive the separation of a Covered Executive’s employment. More specifically, to the extent necessary, </w:t>
      </w:r>
      <w:r>
        <w:rPr>
          <w:rFonts w:ascii="Arial Narrow" w:hAnsi="Arial Narrow"/>
          <w:sz w:val="24"/>
          <w:szCs w:val="24"/>
        </w:rPr>
        <w:t>[]</w:t>
      </w:r>
      <w:r w:rsidRPr="00216BD5">
        <w:rPr>
          <w:rFonts w:ascii="Arial Narrow" w:hAnsi="Arial Narrow"/>
          <w:sz w:val="24"/>
          <w:szCs w:val="24"/>
        </w:rPr>
        <w:t xml:space="preserve"> shall implement an eligibility and repayment condition on </w:t>
      </w:r>
      <w:r>
        <w:rPr>
          <w:rFonts w:ascii="Arial Narrow" w:hAnsi="Arial Narrow"/>
          <w:sz w:val="24"/>
          <w:szCs w:val="24"/>
        </w:rPr>
        <w:t>[]</w:t>
      </w:r>
      <w:r w:rsidRPr="00216BD5">
        <w:rPr>
          <w:rFonts w:ascii="Arial Narrow" w:hAnsi="Arial Narrow"/>
          <w:sz w:val="24"/>
          <w:szCs w:val="24"/>
        </w:rPr>
        <w:t xml:space="preserve">’s Equity Awards in order to clarify that, as a consequence of a Triggering Event, </w:t>
      </w:r>
      <w:r>
        <w:rPr>
          <w:rFonts w:ascii="Arial Narrow" w:hAnsi="Arial Narrow"/>
          <w:sz w:val="24"/>
          <w:szCs w:val="24"/>
        </w:rPr>
        <w:t>[]</w:t>
      </w:r>
      <w:r w:rsidRPr="00216BD5">
        <w:rPr>
          <w:rFonts w:ascii="Arial Narrow" w:hAnsi="Arial Narrow"/>
          <w:sz w:val="24"/>
          <w:szCs w:val="24"/>
        </w:rPr>
        <w:t xml:space="preserve"> may pursue repayment by a Covered Executive who is a former employee of all or any portion of the last 3 years’ worth of any Equity Awards that were granted preceding the Affirmative Recoupment Determination. </w:t>
      </w:r>
    </w:p>
    <w:p w14:paraId="6E530358" w14:textId="0D9F7B16" w:rsidR="00216BD5" w:rsidRPr="00216BD5" w:rsidRDefault="00216BD5" w:rsidP="00216BD5">
      <w:pPr>
        <w:pStyle w:val="NormalWeb"/>
        <w:rPr>
          <w:rFonts w:ascii="Arial Narrow" w:hAnsi="Arial Narrow"/>
          <w:sz w:val="24"/>
          <w:szCs w:val="24"/>
        </w:rPr>
      </w:pPr>
      <w:r w:rsidRPr="00216BD5">
        <w:rPr>
          <w:rFonts w:ascii="Arial Narrow" w:hAnsi="Arial Narrow"/>
          <w:sz w:val="24"/>
          <w:szCs w:val="24"/>
        </w:rPr>
        <w:t xml:space="preserve">If an Affirmative Recoupment Determination is made, </w:t>
      </w:r>
      <w:r>
        <w:rPr>
          <w:rFonts w:ascii="Arial Narrow" w:hAnsi="Arial Narrow"/>
          <w:sz w:val="24"/>
          <w:szCs w:val="24"/>
        </w:rPr>
        <w:t>[]</w:t>
      </w:r>
      <w:r w:rsidRPr="00216BD5">
        <w:rPr>
          <w:rFonts w:ascii="Arial Narrow" w:hAnsi="Arial Narrow"/>
          <w:sz w:val="24"/>
          <w:szCs w:val="24"/>
        </w:rPr>
        <w:t xml:space="preserve"> shall endeavor to collect repayment of all or a portion of the </w:t>
      </w:r>
      <w:r>
        <w:rPr>
          <w:rFonts w:ascii="Arial Narrow" w:hAnsi="Arial Narrow"/>
          <w:sz w:val="24"/>
          <w:szCs w:val="24"/>
        </w:rPr>
        <w:t>E</w:t>
      </w:r>
      <w:r w:rsidRPr="00216BD5">
        <w:rPr>
          <w:rFonts w:ascii="Arial Narrow" w:hAnsi="Arial Narrow"/>
          <w:sz w:val="24"/>
          <w:szCs w:val="24"/>
        </w:rPr>
        <w:t xml:space="preserve">quity Awards for the 3 years prior to an Affirmative Recoupment Determination from a Covered Executive through reasonable and appropriate means (including by means of filing suit against the executive, as may be appropriate) to the extent permitted by controlling law of the jurisdiction in which the Covered Executive works. </w:t>
      </w:r>
    </w:p>
    <w:p w14:paraId="01B43FE8" w14:textId="37197CAB" w:rsidR="00216BD5" w:rsidRPr="00216BD5" w:rsidRDefault="00216BD5" w:rsidP="00216BD5">
      <w:pPr>
        <w:pStyle w:val="NormalWeb"/>
        <w:rPr>
          <w:rFonts w:ascii="Arial Narrow" w:hAnsi="Arial Narrow"/>
          <w:sz w:val="24"/>
          <w:szCs w:val="24"/>
        </w:rPr>
      </w:pPr>
      <w:r w:rsidRPr="00216BD5">
        <w:rPr>
          <w:rFonts w:ascii="Arial Narrow" w:hAnsi="Arial Narrow"/>
          <w:sz w:val="24"/>
          <w:szCs w:val="24"/>
        </w:rPr>
        <w:t xml:space="preserve">If, after expiration of the time period specified in Paragraphs A(i)-(ii) above, the Recoupment Committee determines that a Triggering Event has occurred, </w:t>
      </w:r>
      <w:r>
        <w:rPr>
          <w:rFonts w:ascii="Arial Narrow" w:hAnsi="Arial Narrow"/>
          <w:sz w:val="24"/>
          <w:szCs w:val="24"/>
        </w:rPr>
        <w:t>[]</w:t>
      </w:r>
      <w:r w:rsidRPr="00216BD5">
        <w:rPr>
          <w:rFonts w:ascii="Arial Narrow" w:hAnsi="Arial Narrow"/>
          <w:sz w:val="24"/>
          <w:szCs w:val="24"/>
        </w:rPr>
        <w:t xml:space="preserve"> shall make a determination as to whether to pursue available remedies (e.g.</w:t>
      </w:r>
      <w:r w:rsidRPr="00216BD5">
        <w:rPr>
          <w:rFonts w:ascii="Arial Narrow" w:hAnsi="Arial Narrow"/>
          <w:i/>
          <w:iCs/>
          <w:sz w:val="24"/>
          <w:szCs w:val="24"/>
        </w:rPr>
        <w:t xml:space="preserve">, </w:t>
      </w:r>
      <w:r w:rsidRPr="00216BD5">
        <w:rPr>
          <w:rFonts w:ascii="Arial Narrow" w:hAnsi="Arial Narrow"/>
          <w:sz w:val="24"/>
          <w:szCs w:val="24"/>
        </w:rPr>
        <w:t xml:space="preserve">filing suit against the Covered Executive) existing under statute or common law to the extent available. </w:t>
      </w:r>
    </w:p>
    <w:p w14:paraId="7B046159" w14:textId="38A8ED09" w:rsidR="00216BD5" w:rsidRPr="00216BD5" w:rsidRDefault="00216BD5" w:rsidP="00216BD5">
      <w:pPr>
        <w:pStyle w:val="NormalWeb"/>
        <w:rPr>
          <w:rFonts w:ascii="Arial Narrow" w:hAnsi="Arial Narrow"/>
          <w:sz w:val="24"/>
          <w:szCs w:val="24"/>
        </w:rPr>
      </w:pPr>
      <w:r w:rsidRPr="00216BD5">
        <w:rPr>
          <w:rFonts w:ascii="Arial Narrow" w:hAnsi="Arial Narrow"/>
          <w:sz w:val="24"/>
          <w:szCs w:val="24"/>
        </w:rPr>
        <w:t xml:space="preserve">The forfeiture and repayment conditions described above shall be triggered upon a Recoupment Determination that finds: </w:t>
      </w:r>
    </w:p>
    <w:p w14:paraId="72178AC4" w14:textId="3C41BCCC" w:rsidR="00216BD5" w:rsidRPr="00216BD5" w:rsidRDefault="00216BD5" w:rsidP="00216BD5">
      <w:pPr>
        <w:pStyle w:val="NormalWeb"/>
        <w:rPr>
          <w:rFonts w:ascii="Arial Narrow" w:hAnsi="Arial Narrow"/>
          <w:sz w:val="24"/>
          <w:szCs w:val="24"/>
        </w:rPr>
      </w:pPr>
      <w:r w:rsidRPr="00216BD5">
        <w:rPr>
          <w:rFonts w:ascii="Arial Narrow" w:hAnsi="Arial Narrow"/>
          <w:sz w:val="24"/>
          <w:szCs w:val="24"/>
        </w:rPr>
        <w:t xml:space="preserve">(i) significant misconduct (i.e., significant violation of a </w:t>
      </w:r>
      <w:r w:rsidR="00CF41FD">
        <w:rPr>
          <w:rFonts w:ascii="Arial Narrow" w:hAnsi="Arial Narrow"/>
          <w:sz w:val="24"/>
          <w:szCs w:val="24"/>
        </w:rPr>
        <w:t>[]</w:t>
      </w:r>
      <w:r w:rsidRPr="00216BD5">
        <w:rPr>
          <w:rFonts w:ascii="Arial Narrow" w:hAnsi="Arial Narrow"/>
          <w:sz w:val="24"/>
          <w:szCs w:val="24"/>
        </w:rPr>
        <w:t xml:space="preserve"> policy or regulation or law) that, if discovered prior to payment, would have made the Covered Executive ineligible for a bonus or Equity Award in that plan year or subsequent plan years; or </w:t>
      </w:r>
    </w:p>
    <w:p w14:paraId="0C3386A7" w14:textId="40F4AC2F" w:rsidR="00216BD5" w:rsidRPr="00216BD5" w:rsidRDefault="00216BD5" w:rsidP="00216BD5">
      <w:pPr>
        <w:pStyle w:val="NormalWeb"/>
        <w:rPr>
          <w:rFonts w:ascii="Arial Narrow" w:hAnsi="Arial Narrow"/>
          <w:sz w:val="24"/>
          <w:szCs w:val="24"/>
        </w:rPr>
      </w:pPr>
      <w:r w:rsidRPr="00216BD5">
        <w:rPr>
          <w:rFonts w:ascii="Arial Narrow" w:hAnsi="Arial Narrow"/>
          <w:sz w:val="24"/>
          <w:szCs w:val="24"/>
        </w:rPr>
        <w:t xml:space="preserve">(ii) significant misconduct (as defined above) relating to the business unit for which the Covered Executive had responsibility that does not constitute an isolated occurrence and which the Covered Executive knew or should have known was occurring that, if discovered prior to payment, would have made the Covered Executive in question ineligible for a bonus or Equity Awards in that plan year or subsequent plan years. </w:t>
      </w:r>
    </w:p>
    <w:p w14:paraId="2FC17B7A" w14:textId="7CD2FE39" w:rsidR="00216BD5" w:rsidRPr="00216BD5" w:rsidRDefault="00CF41FD" w:rsidP="00216BD5">
      <w:pPr>
        <w:pStyle w:val="NormalWeb"/>
        <w:rPr>
          <w:rFonts w:ascii="Arial Narrow" w:hAnsi="Arial Narrow"/>
          <w:sz w:val="24"/>
          <w:szCs w:val="24"/>
        </w:rPr>
      </w:pPr>
      <w:r>
        <w:rPr>
          <w:rFonts w:ascii="Arial Narrow" w:hAnsi="Arial Narrow"/>
          <w:sz w:val="24"/>
          <w:szCs w:val="24"/>
        </w:rPr>
        <w:lastRenderedPageBreak/>
        <w:t>[]</w:t>
      </w:r>
      <w:r w:rsidR="00216BD5" w:rsidRPr="00216BD5">
        <w:rPr>
          <w:rFonts w:ascii="Arial Narrow" w:hAnsi="Arial Narrow"/>
          <w:sz w:val="24"/>
          <w:szCs w:val="24"/>
        </w:rPr>
        <w:t xml:space="preserve"> shall engage in a standardized, formal process to determine, in their sole discretion, whether a Triggering Event has occurred, and, if so, the extent of bonus monies, and Equity Awards that will be subject to repayment or forfeiture by the Covered Executive, and the most appropriate method for securing recoupment of relevant monies previously paid to a Covered Executive. The findings and conclusions resulting from this process shall be referred to as the “Recoupment Determination.” A determination that bonus and/or Equity Award amounts shall be forfeited by or recouped from a Covered Executive shall be referred to as an “Affirmative Recoupment Determination.” </w:t>
      </w:r>
    </w:p>
    <w:p w14:paraId="2B5A451B" w14:textId="6C1288ED" w:rsidR="00216BD5" w:rsidRPr="00216BD5" w:rsidRDefault="00CF41FD" w:rsidP="00216BD5">
      <w:pPr>
        <w:pStyle w:val="NormalWeb"/>
        <w:rPr>
          <w:rFonts w:ascii="Arial Narrow" w:hAnsi="Arial Narrow"/>
          <w:sz w:val="24"/>
          <w:szCs w:val="24"/>
        </w:rPr>
      </w:pPr>
      <w:r>
        <w:rPr>
          <w:rFonts w:ascii="Arial Narrow" w:hAnsi="Arial Narrow"/>
          <w:sz w:val="24"/>
          <w:szCs w:val="24"/>
        </w:rPr>
        <w:t>[]</w:t>
      </w:r>
      <w:r w:rsidR="00216BD5" w:rsidRPr="00216BD5">
        <w:rPr>
          <w:rFonts w:ascii="Arial Narrow" w:hAnsi="Arial Narrow"/>
          <w:sz w:val="24"/>
          <w:szCs w:val="24"/>
        </w:rPr>
        <w:t xml:space="preserve"> shall initiate the Recoupment Determination process upon: (1) discovery of potential significant misconduct that may rise to the level of a Triggering Event, or (2) written notification by a United States federal government agency to </w:t>
      </w:r>
      <w:r>
        <w:rPr>
          <w:rFonts w:ascii="Arial Narrow" w:hAnsi="Arial Narrow"/>
          <w:sz w:val="24"/>
          <w:szCs w:val="24"/>
        </w:rPr>
        <w:t>[]’s</w:t>
      </w:r>
      <w:r w:rsidR="00216BD5" w:rsidRPr="00216BD5">
        <w:rPr>
          <w:rFonts w:ascii="Arial Narrow" w:hAnsi="Arial Narrow"/>
          <w:sz w:val="24"/>
          <w:szCs w:val="24"/>
        </w:rPr>
        <w:t xml:space="preserve"> compliance officer of a situation that may rise to the level of a Triggering Event and either occurred in the United States or gives rise to liability relating to Federal healthcare programs. This written notification shall either identify the Covered Executive(s) potentially at issue or provide information (e.g.</w:t>
      </w:r>
      <w:r w:rsidR="00216BD5" w:rsidRPr="00216BD5">
        <w:rPr>
          <w:rFonts w:ascii="Arial Narrow" w:hAnsi="Arial Narrow"/>
          <w:i/>
          <w:iCs/>
          <w:sz w:val="24"/>
          <w:szCs w:val="24"/>
        </w:rPr>
        <w:t xml:space="preserve">, </w:t>
      </w:r>
      <w:r w:rsidR="00216BD5" w:rsidRPr="00216BD5">
        <w:rPr>
          <w:rFonts w:ascii="Arial Narrow" w:hAnsi="Arial Narrow"/>
          <w:sz w:val="24"/>
          <w:szCs w:val="24"/>
        </w:rPr>
        <w:t xml:space="preserve">a description of the alleged misconduct and the applicable time period) to allow </w:t>
      </w:r>
      <w:r>
        <w:rPr>
          <w:rFonts w:ascii="Arial Narrow" w:hAnsi="Arial Narrow"/>
          <w:sz w:val="24"/>
          <w:szCs w:val="24"/>
        </w:rPr>
        <w:t xml:space="preserve">[] </w:t>
      </w:r>
      <w:r w:rsidR="00216BD5" w:rsidRPr="00216BD5">
        <w:rPr>
          <w:rFonts w:ascii="Arial Narrow" w:hAnsi="Arial Narrow"/>
          <w:sz w:val="24"/>
          <w:szCs w:val="24"/>
        </w:rPr>
        <w:t xml:space="preserve">to identify the Covered Executive. </w:t>
      </w:r>
    </w:p>
    <w:p w14:paraId="4119F91F" w14:textId="0037E363" w:rsidR="00216BD5" w:rsidRPr="00216BD5" w:rsidRDefault="00216BD5" w:rsidP="00216BD5">
      <w:pPr>
        <w:pStyle w:val="NormalWeb"/>
        <w:rPr>
          <w:rFonts w:ascii="Arial Narrow" w:hAnsi="Arial Narrow"/>
          <w:sz w:val="24"/>
          <w:szCs w:val="24"/>
        </w:rPr>
      </w:pPr>
      <w:r w:rsidRPr="00216BD5">
        <w:rPr>
          <w:rFonts w:ascii="Arial Narrow" w:hAnsi="Arial Narrow"/>
          <w:sz w:val="24"/>
          <w:szCs w:val="24"/>
        </w:rPr>
        <w:t xml:space="preserve">The Recoupment Determination shall be made by a committee of senior executives representing the Compliance, Legal, Internal Controls, Finance and Human Resources groups (Recoupment Committee). The Recoupment Committee may also include members of other functional areas or business groups, as it deems necessary. A Covered Executive shall not participate in the Recoupment Committee while that individual is subject to a Recoupment Determination. If a Recoupment Determination involves an Executive Officer of </w:t>
      </w:r>
      <w:r w:rsidR="00CF41FD">
        <w:rPr>
          <w:rFonts w:ascii="Arial Narrow" w:hAnsi="Arial Narrow"/>
          <w:sz w:val="24"/>
          <w:szCs w:val="24"/>
        </w:rPr>
        <w:t>[]</w:t>
      </w:r>
      <w:r w:rsidRPr="00216BD5">
        <w:rPr>
          <w:rFonts w:ascii="Arial Narrow" w:hAnsi="Arial Narrow"/>
          <w:sz w:val="24"/>
          <w:szCs w:val="24"/>
        </w:rPr>
        <w:t>, a Recoupment Determination for such individual shall be subject to approval by the Board of Directors (or appropriate committee thereof)</w:t>
      </w:r>
      <w:r w:rsidR="00CF41FD">
        <w:rPr>
          <w:rFonts w:ascii="Arial Narrow" w:hAnsi="Arial Narrow"/>
          <w:sz w:val="24"/>
          <w:szCs w:val="24"/>
        </w:rPr>
        <w:t>.</w:t>
      </w:r>
      <w:r w:rsidRPr="00216BD5">
        <w:rPr>
          <w:rFonts w:ascii="Arial Narrow" w:hAnsi="Arial Narrow"/>
          <w:sz w:val="24"/>
          <w:szCs w:val="24"/>
        </w:rPr>
        <w:t xml:space="preserve"> For purposes of this section, “Executive Officer” means any member of the Executive Committee of </w:t>
      </w:r>
      <w:r w:rsidR="00CF41FD">
        <w:rPr>
          <w:rFonts w:ascii="Arial Narrow" w:hAnsi="Arial Narrow"/>
          <w:sz w:val="24"/>
          <w:szCs w:val="24"/>
        </w:rPr>
        <w:t>[]</w:t>
      </w:r>
      <w:r w:rsidRPr="00216BD5">
        <w:rPr>
          <w:rFonts w:ascii="Arial Narrow" w:hAnsi="Arial Narrow"/>
          <w:sz w:val="24"/>
          <w:szCs w:val="24"/>
        </w:rPr>
        <w:t xml:space="preserve">, the Corporate Controller, and such other executives of </w:t>
      </w:r>
      <w:r w:rsidR="00CF41FD">
        <w:rPr>
          <w:rFonts w:ascii="Arial Narrow" w:hAnsi="Arial Narrow"/>
          <w:sz w:val="24"/>
          <w:szCs w:val="24"/>
        </w:rPr>
        <w:t xml:space="preserve">[] </w:t>
      </w:r>
      <w:r w:rsidRPr="00216BD5">
        <w:rPr>
          <w:rFonts w:ascii="Arial Narrow" w:hAnsi="Arial Narrow"/>
          <w:sz w:val="24"/>
          <w:szCs w:val="24"/>
        </w:rPr>
        <w:t xml:space="preserve">subject to the reporting requirements of Section 16 of the Securities Exchange Act of 1934, as amended, as may be determined by the Company’s Board of Directors. </w:t>
      </w:r>
    </w:p>
    <w:p w14:paraId="1C76EBB6" w14:textId="13D19104" w:rsidR="00216BD5" w:rsidRPr="00216BD5" w:rsidRDefault="00CF41FD" w:rsidP="00216BD5">
      <w:pPr>
        <w:pStyle w:val="NormalWeb"/>
        <w:rPr>
          <w:rFonts w:ascii="Arial Narrow" w:hAnsi="Arial Narrow"/>
          <w:sz w:val="24"/>
          <w:szCs w:val="24"/>
        </w:rPr>
      </w:pPr>
      <w:r>
        <w:rPr>
          <w:rFonts w:ascii="Arial Narrow" w:hAnsi="Arial Narrow"/>
          <w:sz w:val="24"/>
          <w:szCs w:val="24"/>
        </w:rPr>
        <w:t xml:space="preserve">[] </w:t>
      </w:r>
      <w:r w:rsidR="00216BD5" w:rsidRPr="00216BD5">
        <w:rPr>
          <w:rFonts w:ascii="Arial Narrow" w:hAnsi="Arial Narrow"/>
          <w:sz w:val="24"/>
          <w:szCs w:val="24"/>
        </w:rPr>
        <w:t xml:space="preserve">shall initiate the Recoupment Determination process within 30 days after discovery by </w:t>
      </w:r>
      <w:r>
        <w:rPr>
          <w:rFonts w:ascii="Arial Narrow" w:hAnsi="Arial Narrow"/>
          <w:sz w:val="24"/>
          <w:szCs w:val="24"/>
        </w:rPr>
        <w:t>[]</w:t>
      </w:r>
      <w:r w:rsidR="00216BD5" w:rsidRPr="00216BD5">
        <w:rPr>
          <w:rFonts w:ascii="Arial Narrow" w:hAnsi="Arial Narrow"/>
          <w:sz w:val="24"/>
          <w:szCs w:val="24"/>
        </w:rPr>
        <w:t xml:space="preserve">, or notification pursuant to Paragraph C(i), of a potential Triggering Event. </w:t>
      </w:r>
    </w:p>
    <w:p w14:paraId="5389D499" w14:textId="5EA77C55" w:rsidR="00216BD5" w:rsidRPr="00216BD5" w:rsidRDefault="00216BD5" w:rsidP="00216BD5">
      <w:pPr>
        <w:pStyle w:val="NormalWeb"/>
        <w:rPr>
          <w:rFonts w:ascii="Arial Narrow" w:hAnsi="Arial Narrow"/>
          <w:sz w:val="24"/>
          <w:szCs w:val="24"/>
        </w:rPr>
      </w:pPr>
      <w:r w:rsidRPr="00216BD5">
        <w:rPr>
          <w:rFonts w:ascii="Arial Narrow" w:hAnsi="Arial Narrow"/>
          <w:sz w:val="24"/>
          <w:szCs w:val="24"/>
        </w:rPr>
        <w:t xml:space="preserve">As part of the Recoupment Determination process, the Recoupment Committee or appropriate Delegate (as defined below) shall: i) undertake an appropriate and substantive review or investigation of the facts and circumstances associated with the Triggering Event or any written notifications about potential Triggering Events received pursuant to Paragraph C(i) above; ii) make written findings regarding the facts and circumstances associated with the Triggering Event and any written notifications about potential Triggering Events received pursuant to Paragraph C(i) above; and iii) set forth in writing its determinations (and the rationale for such determinations) about: 1) whether a Triggering Event occurred; 2) the extent of bonus monies or Equity Awards (collectively “performance pay”) that will be subject to forfeiture and/or repayment by the Covered Executive, if any; 3) the means that will be followed to implement the forfeiture and/or secure the recoupment of performance pay from the Covered Executive; and 4) the timetables under which </w:t>
      </w:r>
      <w:r w:rsidR="00CF41FD">
        <w:rPr>
          <w:rFonts w:ascii="Arial Narrow" w:hAnsi="Arial Narrow"/>
          <w:sz w:val="24"/>
          <w:szCs w:val="24"/>
        </w:rPr>
        <w:t>[]</w:t>
      </w:r>
      <w:r w:rsidRPr="00216BD5">
        <w:rPr>
          <w:rFonts w:ascii="Arial Narrow" w:hAnsi="Arial Narrow"/>
          <w:sz w:val="24"/>
          <w:szCs w:val="24"/>
        </w:rPr>
        <w:t xml:space="preserve"> will implement the forfeiture and/or attempt to recoup the performance pay. </w:t>
      </w:r>
    </w:p>
    <w:p w14:paraId="17C5F508" w14:textId="400288AA" w:rsidR="00781218" w:rsidRPr="00CF41FD" w:rsidRDefault="00216BD5" w:rsidP="00CF41FD">
      <w:pPr>
        <w:pStyle w:val="NormalWeb"/>
        <w:rPr>
          <w:rFonts w:ascii="Arial Narrow" w:hAnsi="Arial Narrow"/>
          <w:sz w:val="24"/>
          <w:szCs w:val="24"/>
        </w:rPr>
      </w:pPr>
      <w:r w:rsidRPr="00216BD5">
        <w:rPr>
          <w:rFonts w:ascii="Arial Narrow" w:hAnsi="Arial Narrow"/>
          <w:sz w:val="24"/>
          <w:szCs w:val="24"/>
        </w:rPr>
        <w:t xml:space="preserve">The Recoupment Committee shall provide annual reports to the Board of Directors (or an appropriate committee thereof) about: i) the number and circumstances of any Triggering Events that occurred during the preceding year and any written notifications about potential Triggering Events received pursuant to Paragraph C(i)(2) above; ii) a description of any Recoupment Determinations where a Triggering Event </w:t>
      </w:r>
      <w:r w:rsidRPr="00216BD5">
        <w:rPr>
          <w:rFonts w:ascii="Arial Narrow" w:hAnsi="Arial Narrow"/>
          <w:sz w:val="24"/>
          <w:szCs w:val="24"/>
        </w:rPr>
        <w:lastRenderedPageBreak/>
        <w:t xml:space="preserve">occurred during the preceding year (including any decision to require or not require forfeiture/recoupment from any Covered Executives, the amount and type of any forfeiture/recoupment, the means for collecting any recoupment and the rationale for such decisions); and iii) a description of the status of any forfeitures and/or recoupments required under prior Affirmative Recoupment Determinations that were not </w:t>
      </w:r>
      <w:r w:rsidR="00CF41FD">
        <w:rPr>
          <w:rFonts w:ascii="Arial Narrow" w:hAnsi="Arial Narrow"/>
          <w:sz w:val="24"/>
          <w:szCs w:val="24"/>
        </w:rPr>
        <w:t>fully completed in prior years.</w:t>
      </w:r>
    </w:p>
    <w:sectPr w:rsidR="00781218" w:rsidRPr="00CF41FD" w:rsidSect="00603F2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9139" w14:textId="77777777" w:rsidR="00025C3D" w:rsidRDefault="00025C3D" w:rsidP="009241F3">
      <w:r>
        <w:separator/>
      </w:r>
    </w:p>
  </w:endnote>
  <w:endnote w:type="continuationSeparator" w:id="0">
    <w:p w14:paraId="7869307A" w14:textId="77777777" w:rsidR="00025C3D" w:rsidRDefault="00025C3D" w:rsidP="0092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36F5" w14:textId="77777777" w:rsidR="008826DB" w:rsidRDefault="008826DB" w:rsidP="009E6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DA8EB" w14:textId="77777777" w:rsidR="008826DB" w:rsidRDefault="00882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4A27" w14:textId="77777777" w:rsidR="008826DB" w:rsidRPr="007706E7" w:rsidRDefault="008826DB" w:rsidP="009E69C5">
    <w:pPr>
      <w:pStyle w:val="Footer"/>
      <w:framePr w:wrap="around" w:vAnchor="text" w:hAnchor="margin" w:xAlign="center" w:y="1"/>
      <w:rPr>
        <w:rStyle w:val="PageNumber"/>
        <w:rFonts w:ascii="Arial Narrow" w:hAnsi="Arial Narrow"/>
        <w:sz w:val="18"/>
        <w:szCs w:val="18"/>
      </w:rPr>
    </w:pPr>
    <w:r w:rsidRPr="007706E7">
      <w:rPr>
        <w:rStyle w:val="PageNumber"/>
        <w:rFonts w:ascii="Arial Narrow" w:hAnsi="Arial Narrow"/>
        <w:sz w:val="18"/>
        <w:szCs w:val="18"/>
      </w:rPr>
      <w:fldChar w:fldCharType="begin"/>
    </w:r>
    <w:r w:rsidRPr="007706E7">
      <w:rPr>
        <w:rStyle w:val="PageNumber"/>
        <w:rFonts w:ascii="Arial Narrow" w:hAnsi="Arial Narrow"/>
        <w:sz w:val="18"/>
        <w:szCs w:val="18"/>
      </w:rPr>
      <w:instrText xml:space="preserve">PAGE  </w:instrText>
    </w:r>
    <w:r w:rsidRPr="007706E7">
      <w:rPr>
        <w:rStyle w:val="PageNumber"/>
        <w:rFonts w:ascii="Arial Narrow" w:hAnsi="Arial Narrow"/>
        <w:sz w:val="18"/>
        <w:szCs w:val="18"/>
      </w:rPr>
      <w:fldChar w:fldCharType="separate"/>
    </w:r>
    <w:r w:rsidR="001924FC">
      <w:rPr>
        <w:rStyle w:val="PageNumber"/>
        <w:rFonts w:ascii="Arial Narrow" w:hAnsi="Arial Narrow"/>
        <w:noProof/>
        <w:sz w:val="18"/>
        <w:szCs w:val="18"/>
      </w:rPr>
      <w:t>1</w:t>
    </w:r>
    <w:r w:rsidRPr="007706E7">
      <w:rPr>
        <w:rStyle w:val="PageNumber"/>
        <w:rFonts w:ascii="Arial Narrow" w:hAnsi="Arial Narrow"/>
        <w:sz w:val="18"/>
        <w:szCs w:val="18"/>
      </w:rPr>
      <w:fldChar w:fldCharType="end"/>
    </w:r>
  </w:p>
  <w:p w14:paraId="48A76CDE" w14:textId="77777777" w:rsidR="008826DB" w:rsidRDefault="00882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A4896" w14:textId="77777777" w:rsidR="00025C3D" w:rsidRDefault="00025C3D" w:rsidP="009241F3">
      <w:r>
        <w:separator/>
      </w:r>
    </w:p>
  </w:footnote>
  <w:footnote w:type="continuationSeparator" w:id="0">
    <w:p w14:paraId="051B6EFD" w14:textId="77777777" w:rsidR="00025C3D" w:rsidRDefault="00025C3D" w:rsidP="009241F3">
      <w:r>
        <w:continuationSeparator/>
      </w:r>
    </w:p>
  </w:footnote>
  <w:footnote w:id="1">
    <w:p w14:paraId="4F84952B" w14:textId="50035546" w:rsidR="008826DB" w:rsidRPr="006C48DB" w:rsidRDefault="008826DB">
      <w:pPr>
        <w:pStyle w:val="FootnoteText"/>
        <w:rPr>
          <w:rFonts w:ascii="Arial Narrow" w:hAnsi="Arial Narrow" w:cs="Arial"/>
          <w:sz w:val="20"/>
          <w:szCs w:val="20"/>
        </w:rPr>
      </w:pPr>
      <w:r w:rsidRPr="006C48DB">
        <w:rPr>
          <w:rStyle w:val="FootnoteReference"/>
          <w:rFonts w:ascii="Arial Narrow" w:hAnsi="Arial Narrow"/>
          <w:sz w:val="20"/>
          <w:szCs w:val="20"/>
        </w:rPr>
        <w:footnoteRef/>
      </w:r>
      <w:r w:rsidRPr="006C48DB">
        <w:rPr>
          <w:rFonts w:ascii="Arial Narrow" w:hAnsi="Arial Narrow"/>
          <w:sz w:val="20"/>
          <w:szCs w:val="20"/>
        </w:rPr>
        <w:t xml:space="preserve"> </w:t>
      </w:r>
      <w:r w:rsidRPr="006C48DB">
        <w:rPr>
          <w:rFonts w:ascii="Arial Narrow" w:hAnsi="Arial Narrow" w:cs="Arial"/>
          <w:sz w:val="20"/>
          <w:szCs w:val="20"/>
        </w:rPr>
        <w:t xml:space="preserve">Jeffrey B. Miller </w:t>
      </w:r>
      <w:r w:rsidR="006C48DB" w:rsidRPr="006C48DB">
        <w:rPr>
          <w:rFonts w:ascii="Arial Narrow" w:hAnsi="Arial Narrow" w:cs="Arial"/>
          <w:sz w:val="20"/>
          <w:szCs w:val="20"/>
        </w:rPr>
        <w:t xml:space="preserve">President of </w:t>
      </w:r>
      <w:r w:rsidR="006C48DB" w:rsidRPr="00923A8A">
        <w:rPr>
          <w:rFonts w:ascii="Arial Narrow" w:hAnsi="Arial Narrow" w:cs="Arial"/>
          <w:b/>
          <w:sz w:val="20"/>
          <w:szCs w:val="20"/>
        </w:rPr>
        <w:t>Effective Compliance Initiatives</w:t>
      </w:r>
      <w:r w:rsidR="006C48DB" w:rsidRPr="006C48DB">
        <w:rPr>
          <w:rFonts w:ascii="Arial Narrow" w:hAnsi="Arial Narrow" w:cs="Arial"/>
          <w:sz w:val="20"/>
          <w:szCs w:val="20"/>
        </w:rPr>
        <w:t>, a professional and management compliance consulting firm</w:t>
      </w:r>
      <w:r w:rsidR="006C48DB">
        <w:rPr>
          <w:rFonts w:ascii="Arial Narrow" w:hAnsi="Arial Narrow" w:cs="Arial"/>
          <w:sz w:val="20"/>
          <w:szCs w:val="20"/>
        </w:rPr>
        <w:t xml:space="preserve"> </w:t>
      </w:r>
      <w:r w:rsidR="006C48DB" w:rsidRPr="006C48DB">
        <w:rPr>
          <w:rFonts w:ascii="Arial Narrow" w:hAnsi="Arial Narrow" w:cs="Helvetica"/>
          <w:color w:val="262626"/>
          <w:sz w:val="20"/>
          <w:szCs w:val="20"/>
        </w:rPr>
        <w:t>partnering with companies and compliance officers globally to support the effectiveness of their compliance programs while increasing the simplicity, speed and customer focus of their efforts.</w:t>
      </w:r>
      <w:r w:rsidR="006C48DB">
        <w:rPr>
          <w:rFonts w:ascii="Arial Narrow" w:hAnsi="Arial Narrow" w:cs="Helvetica"/>
          <w:color w:val="262626"/>
          <w:sz w:val="20"/>
          <w:szCs w:val="20"/>
        </w:rPr>
        <w:t xml:space="preserve"> </w:t>
      </w:r>
      <w:r w:rsidR="006C48DB">
        <w:rPr>
          <w:rFonts w:ascii="Arial Narrow" w:hAnsi="Arial Narrow" w:cs="Arial"/>
          <w:sz w:val="20"/>
          <w:szCs w:val="20"/>
        </w:rPr>
        <w:t>A</w:t>
      </w:r>
      <w:r w:rsidRPr="006C48DB">
        <w:rPr>
          <w:rFonts w:ascii="Arial Narrow" w:hAnsi="Arial Narrow" w:cs="Arial"/>
          <w:sz w:val="20"/>
          <w:szCs w:val="20"/>
        </w:rPr>
        <w:t>n experienced attorney and compliance professional</w:t>
      </w:r>
      <w:r w:rsidR="006C48DB">
        <w:rPr>
          <w:rFonts w:ascii="Arial Narrow" w:hAnsi="Arial Narrow" w:cs="Arial"/>
          <w:sz w:val="20"/>
          <w:szCs w:val="20"/>
        </w:rPr>
        <w:t>, Jeff</w:t>
      </w:r>
      <w:r w:rsidRPr="006C48DB">
        <w:rPr>
          <w:rFonts w:ascii="Arial Narrow" w:hAnsi="Arial Narrow" w:cs="Arial"/>
          <w:sz w:val="20"/>
          <w:szCs w:val="20"/>
        </w:rPr>
        <w:t xml:space="preserve"> has advised boards and led compliance functions in large and smaller companies across the health care spectrum and around the world. A recipient of the Yale School of Management, Millstein Center for Corporate Governance and Performance’s Rising Star of Corporate Governance Award, Jeff is an advisor, author and speaker on designing and operationalizing effective, efficient compliance programs, processes and procedures. Interested in getting help or learning more? Please contact Jeff at</w:t>
      </w:r>
      <w:r w:rsidR="006C48DB">
        <w:rPr>
          <w:rFonts w:ascii="Arial Narrow" w:hAnsi="Arial Narrow" w:cs="Arial"/>
          <w:sz w:val="20"/>
          <w:szCs w:val="20"/>
        </w:rPr>
        <w:t xml:space="preserve"> +1 717 205 8028, at </w:t>
      </w:r>
      <w:hyperlink r:id="rId1" w:history="1">
        <w:r w:rsidR="006C48DB" w:rsidRPr="00222AB6">
          <w:rPr>
            <w:rStyle w:val="Hyperlink"/>
            <w:rFonts w:ascii="Arial Narrow" w:hAnsi="Arial Narrow" w:cs="Arial"/>
            <w:sz w:val="20"/>
            <w:szCs w:val="20"/>
          </w:rPr>
          <w:t>Jeff.Miller.ECI@icloud.com</w:t>
        </w:r>
      </w:hyperlink>
      <w:r w:rsidR="006C48DB">
        <w:rPr>
          <w:rFonts w:ascii="Arial Narrow" w:hAnsi="Arial Narrow" w:cs="Arial"/>
          <w:sz w:val="20"/>
          <w:szCs w:val="20"/>
        </w:rPr>
        <w:t xml:space="preserve"> </w:t>
      </w:r>
      <w:r w:rsidRPr="006C48DB">
        <w:rPr>
          <w:rFonts w:ascii="Arial Narrow" w:hAnsi="Arial Narrow" w:cs="Arial"/>
          <w:sz w:val="20"/>
          <w:szCs w:val="20"/>
        </w:rPr>
        <w:t>or through LinkedIn.</w:t>
      </w:r>
    </w:p>
    <w:p w14:paraId="537839BD" w14:textId="77777777" w:rsidR="008826DB" w:rsidRPr="00913D15" w:rsidRDefault="008826DB">
      <w:pPr>
        <w:pStyle w:val="FootnoteText"/>
        <w:rPr>
          <w:rFonts w:ascii="Arial Narrow" w:hAnsi="Arial Narrow"/>
          <w:sz w:val="20"/>
          <w:szCs w:val="20"/>
        </w:rPr>
      </w:pPr>
    </w:p>
  </w:footnote>
  <w:footnote w:id="2">
    <w:p w14:paraId="46AC574E" w14:textId="48629FA1" w:rsidR="008826DB" w:rsidRPr="00913D15" w:rsidRDefault="008826DB">
      <w:pPr>
        <w:pStyle w:val="FootnoteText"/>
        <w:rPr>
          <w:sz w:val="20"/>
          <w:szCs w:val="20"/>
        </w:rPr>
      </w:pPr>
      <w:r w:rsidRPr="00913D15">
        <w:rPr>
          <w:rStyle w:val="FootnoteReference"/>
          <w:rFonts w:ascii="Arial Narrow" w:hAnsi="Arial Narrow"/>
          <w:sz w:val="20"/>
          <w:szCs w:val="20"/>
        </w:rPr>
        <w:footnoteRef/>
      </w:r>
      <w:r w:rsidRPr="00913D15">
        <w:rPr>
          <w:rFonts w:ascii="Arial Narrow" w:hAnsi="Arial Narrow"/>
          <w:sz w:val="20"/>
          <w:szCs w:val="20"/>
        </w:rPr>
        <w:t xml:space="preserve"> For an analysis of this trend, and for trends effecting senior executive management and financial incentives, </w:t>
      </w:r>
      <w:r w:rsidRPr="00913D15">
        <w:rPr>
          <w:rFonts w:ascii="Arial Narrow" w:hAnsi="Arial Narrow"/>
          <w:i/>
          <w:sz w:val="20"/>
          <w:szCs w:val="20"/>
        </w:rPr>
        <w:t xml:space="preserve">see </w:t>
      </w:r>
      <w:r w:rsidRPr="00913D15">
        <w:rPr>
          <w:rFonts w:ascii="Arial Narrow" w:hAnsi="Arial Narrow"/>
          <w:sz w:val="20"/>
          <w:szCs w:val="20"/>
        </w:rPr>
        <w:t xml:space="preserve">Jeffrey B. Miller, </w:t>
      </w:r>
      <w:r w:rsidRPr="00913D15">
        <w:rPr>
          <w:rFonts w:ascii="Arial Narrow" w:hAnsi="Arial Narrow"/>
          <w:i/>
          <w:sz w:val="20"/>
          <w:szCs w:val="20"/>
        </w:rPr>
        <w:t xml:space="preserve">Learning from the Past and Building for the Future: Corporate Integrity Agreements in the Life Sciences Industry, </w:t>
      </w:r>
      <w:r w:rsidRPr="00913D15">
        <w:rPr>
          <w:rFonts w:ascii="Arial Narrow" w:hAnsi="Arial Narrow"/>
          <w:sz w:val="20"/>
          <w:szCs w:val="20"/>
        </w:rPr>
        <w:t xml:space="preserve">Journal of Health Care Compliance, Wolters Kluwer Law and Business (July-August, 2013).   </w:t>
      </w:r>
      <w:r w:rsidRPr="00913D15">
        <w:rPr>
          <w:sz w:val="20"/>
          <w:szCs w:val="20"/>
        </w:rPr>
        <w:t xml:space="preserve"> </w:t>
      </w:r>
    </w:p>
  </w:footnote>
  <w:footnote w:id="3">
    <w:p w14:paraId="5857F10E" w14:textId="24F8677B" w:rsidR="008826DB" w:rsidRPr="00913D15" w:rsidRDefault="008826DB" w:rsidP="000A0459">
      <w:pPr>
        <w:rPr>
          <w:rFonts w:ascii="Arial Narrow" w:hAnsi="Arial Narrow"/>
          <w:sz w:val="20"/>
          <w:szCs w:val="20"/>
        </w:rPr>
      </w:pPr>
      <w:r w:rsidRPr="00913D15">
        <w:rPr>
          <w:rStyle w:val="FootnoteReference"/>
          <w:rFonts w:ascii="Arial Narrow" w:hAnsi="Arial Narrow"/>
          <w:sz w:val="20"/>
          <w:szCs w:val="20"/>
        </w:rPr>
        <w:footnoteRef/>
      </w:r>
      <w:r w:rsidRPr="00913D15">
        <w:rPr>
          <w:rFonts w:ascii="Arial Narrow" w:hAnsi="Arial Narrow"/>
          <w:sz w:val="20"/>
          <w:szCs w:val="20"/>
        </w:rPr>
        <w:t xml:space="preserve"> While analysis of government authorities’ efforts in corporate integrity agreements provides us with keen insights into the most recent thinking of some government authorities, this analysis is not the only source of information or opinion on compliance program effectiveness. As many are aware, there is a seemingly endless list of government guidance documents and pronouncements (DOJ, HHS OIG, FDA, SEC, others), industry and professional association and society publications, law firm and consultant-issued advice, tools and templates on compliance and compliance programs, and other sources brimming with information and assistance with compliance program effectiveness. </w:t>
      </w:r>
    </w:p>
  </w:footnote>
  <w:footnote w:id="4">
    <w:p w14:paraId="69699EDC" w14:textId="48D8387F" w:rsidR="008826DB" w:rsidRPr="00913D15" w:rsidRDefault="008826DB">
      <w:pPr>
        <w:pStyle w:val="FootnoteText"/>
        <w:rPr>
          <w:rFonts w:ascii="Arial Narrow" w:hAnsi="Arial Narrow"/>
          <w:sz w:val="20"/>
          <w:szCs w:val="20"/>
        </w:rPr>
      </w:pPr>
      <w:r w:rsidRPr="00913D15">
        <w:rPr>
          <w:rStyle w:val="FootnoteReference"/>
          <w:rFonts w:ascii="Arial Narrow" w:hAnsi="Arial Narrow"/>
          <w:sz w:val="20"/>
          <w:szCs w:val="20"/>
        </w:rPr>
        <w:footnoteRef/>
      </w:r>
      <w:r w:rsidRPr="00913D15">
        <w:rPr>
          <w:rFonts w:ascii="Arial Narrow" w:hAnsi="Arial Narrow"/>
          <w:sz w:val="20"/>
          <w:szCs w:val="20"/>
        </w:rPr>
        <w:t xml:space="preserve"> The Government’s ability to prosecute corporate officers under this theory originated in the passage of the Food, Drug and</w:t>
      </w:r>
      <w:r>
        <w:rPr>
          <w:rFonts w:ascii="Arial Narrow" w:hAnsi="Arial Narrow"/>
          <w:sz w:val="20"/>
          <w:szCs w:val="20"/>
        </w:rPr>
        <w:t xml:space="preserve"> </w:t>
      </w:r>
      <w:r w:rsidRPr="00913D15">
        <w:rPr>
          <w:rFonts w:ascii="Arial Narrow" w:hAnsi="Arial Narrow"/>
          <w:sz w:val="20"/>
          <w:szCs w:val="20"/>
        </w:rPr>
        <w:t xml:space="preserve">Cosmetic Act in 1938, and was affirmed in two key subsequent U.S. Supreme Court cases: </w:t>
      </w:r>
      <w:r w:rsidRPr="00913D15">
        <w:rPr>
          <w:rFonts w:ascii="Arial Narrow" w:hAnsi="Arial Narrow"/>
          <w:i/>
          <w:sz w:val="20"/>
          <w:szCs w:val="20"/>
        </w:rPr>
        <w:t>United States v. Dotterweich,</w:t>
      </w:r>
      <w:r w:rsidRPr="00913D15">
        <w:rPr>
          <w:rFonts w:ascii="Arial Narrow" w:hAnsi="Arial Narrow"/>
          <w:sz w:val="20"/>
          <w:szCs w:val="20"/>
        </w:rPr>
        <w:t xml:space="preserve"> 320 U.S. 277 (1943), and </w:t>
      </w:r>
      <w:r w:rsidRPr="00913D15">
        <w:rPr>
          <w:rFonts w:ascii="Arial Narrow" w:hAnsi="Arial Narrow"/>
          <w:i/>
          <w:sz w:val="20"/>
          <w:szCs w:val="20"/>
        </w:rPr>
        <w:t>United States v. Park</w:t>
      </w:r>
      <w:r w:rsidRPr="00913D15">
        <w:rPr>
          <w:rFonts w:ascii="Arial Narrow" w:hAnsi="Arial Narrow"/>
          <w:sz w:val="20"/>
          <w:szCs w:val="20"/>
        </w:rPr>
        <w:t xml:space="preserve">, 421 U.S. 658 (1975). </w:t>
      </w:r>
    </w:p>
  </w:footnote>
  <w:footnote w:id="5">
    <w:p w14:paraId="1E8D1074" w14:textId="633D179B" w:rsidR="008826DB" w:rsidRPr="00913D15" w:rsidRDefault="008826DB" w:rsidP="009F0955">
      <w:pPr>
        <w:pStyle w:val="FootnoteText"/>
        <w:rPr>
          <w:rFonts w:ascii="Arial Narrow" w:hAnsi="Arial Narrow"/>
          <w:sz w:val="20"/>
          <w:szCs w:val="20"/>
        </w:rPr>
      </w:pPr>
      <w:r w:rsidRPr="00913D15">
        <w:rPr>
          <w:rStyle w:val="FootnoteReference"/>
          <w:rFonts w:ascii="Arial Narrow" w:hAnsi="Arial Narrow"/>
          <w:sz w:val="20"/>
          <w:szCs w:val="20"/>
        </w:rPr>
        <w:footnoteRef/>
      </w:r>
      <w:r w:rsidRPr="00913D15">
        <w:rPr>
          <w:rFonts w:ascii="Arial Narrow" w:hAnsi="Arial Narrow"/>
          <w:sz w:val="20"/>
          <w:szCs w:val="20"/>
        </w:rPr>
        <w:t xml:space="preserve"> Testimony of Daniel Levinson before the House Committee on Appropriations, Subcommittee on Labor, Health and Human Services, Education and Related Agencies (March 4, 2010). A copy of Mr. Levinson’s testimony can be obtained from the HHS OIG’s website at </w:t>
      </w:r>
      <w:hyperlink r:id="rId2" w:anchor="pdf" w:history="1">
        <w:r w:rsidRPr="00913D15">
          <w:rPr>
            <w:rStyle w:val="Hyperlink"/>
            <w:rFonts w:ascii="Arial Narrow" w:hAnsi="Arial Narrow"/>
            <w:sz w:val="20"/>
            <w:szCs w:val="20"/>
          </w:rPr>
          <w:t>http://oig.hhs.gov/newsroom/testimony-and-speeches/index.asp#pdf</w:t>
        </w:r>
      </w:hyperlink>
      <w:r w:rsidRPr="00913D15">
        <w:rPr>
          <w:rFonts w:ascii="Arial Narrow" w:hAnsi="Arial Narrow"/>
          <w:sz w:val="20"/>
          <w:szCs w:val="20"/>
        </w:rPr>
        <w:t xml:space="preserve">. </w:t>
      </w:r>
    </w:p>
  </w:footnote>
  <w:footnote w:id="6">
    <w:p w14:paraId="0125C905" w14:textId="2A79BDA4" w:rsidR="008826DB" w:rsidRPr="00913D15" w:rsidRDefault="008826DB" w:rsidP="007706E7">
      <w:pPr>
        <w:pStyle w:val="FootnoteText"/>
        <w:rPr>
          <w:rFonts w:ascii="Arial Narrow" w:hAnsi="Arial Narrow"/>
          <w:i/>
          <w:sz w:val="20"/>
          <w:szCs w:val="20"/>
        </w:rPr>
      </w:pPr>
      <w:r w:rsidRPr="00913D15">
        <w:rPr>
          <w:rStyle w:val="FootnoteReference"/>
          <w:rFonts w:ascii="Arial Narrow" w:hAnsi="Arial Narrow"/>
          <w:sz w:val="20"/>
          <w:szCs w:val="20"/>
        </w:rPr>
        <w:footnoteRef/>
      </w:r>
      <w:r w:rsidRPr="00913D15">
        <w:rPr>
          <w:rFonts w:ascii="Arial Narrow" w:hAnsi="Arial Narrow"/>
          <w:sz w:val="20"/>
          <w:szCs w:val="20"/>
        </w:rPr>
        <w:t xml:space="preserve"> </w:t>
      </w:r>
      <w:r w:rsidRPr="00913D15">
        <w:rPr>
          <w:rFonts w:ascii="Arial Narrow" w:hAnsi="Arial Narrow"/>
          <w:i/>
          <w:sz w:val="20"/>
          <w:szCs w:val="20"/>
        </w:rPr>
        <w:t xml:space="preserve">Guidance for Implementing Permissive Exclusion Authority Under Section 1128(b)(15) of the Social Security Act. </w:t>
      </w:r>
      <w:r w:rsidRPr="00913D15">
        <w:rPr>
          <w:rFonts w:ascii="Arial Narrow" w:hAnsi="Arial Narrow"/>
          <w:sz w:val="20"/>
          <w:szCs w:val="20"/>
        </w:rPr>
        <w:t xml:space="preserve">A copy of this guidance document can be found on the HHS OIG’s website at </w:t>
      </w:r>
      <w:hyperlink r:id="rId3" w:history="1">
        <w:r w:rsidRPr="00913D15">
          <w:rPr>
            <w:rStyle w:val="Hyperlink"/>
            <w:rFonts w:ascii="Arial Narrow" w:hAnsi="Arial Narrow"/>
            <w:sz w:val="20"/>
            <w:szCs w:val="20"/>
          </w:rPr>
          <w:t>http://oig.hhs.gov/exclusions/advisories.asp</w:t>
        </w:r>
      </w:hyperlink>
      <w:r w:rsidRPr="00913D15">
        <w:rPr>
          <w:rFonts w:ascii="Arial Narrow" w:hAnsi="Arial Narrow"/>
          <w:sz w:val="20"/>
          <w:szCs w:val="20"/>
        </w:rPr>
        <w:t xml:space="preserve">. </w:t>
      </w:r>
    </w:p>
  </w:footnote>
  <w:footnote w:id="7">
    <w:p w14:paraId="219D66E9" w14:textId="4A933A1A" w:rsidR="008826DB" w:rsidRPr="00913D15" w:rsidRDefault="008826DB" w:rsidP="00DC15F2">
      <w:pPr>
        <w:widowControl w:val="0"/>
        <w:tabs>
          <w:tab w:val="left" w:pos="220"/>
          <w:tab w:val="left" w:pos="720"/>
        </w:tabs>
        <w:autoSpaceDE w:val="0"/>
        <w:autoSpaceDN w:val="0"/>
        <w:adjustRightInd w:val="0"/>
        <w:spacing w:after="186"/>
        <w:rPr>
          <w:rFonts w:ascii="Times" w:hAnsi="Times" w:cs="Times"/>
          <w:sz w:val="20"/>
          <w:szCs w:val="20"/>
        </w:rPr>
      </w:pPr>
      <w:r w:rsidRPr="00913D15">
        <w:rPr>
          <w:rStyle w:val="FootnoteReference"/>
          <w:rFonts w:ascii="Arial Narrow" w:hAnsi="Arial Narrow"/>
          <w:sz w:val="20"/>
          <w:szCs w:val="20"/>
        </w:rPr>
        <w:footnoteRef/>
      </w:r>
      <w:r w:rsidRPr="00913D15">
        <w:rPr>
          <w:rFonts w:ascii="Arial Narrow" w:hAnsi="Arial Narrow"/>
          <w:sz w:val="20"/>
          <w:szCs w:val="20"/>
        </w:rPr>
        <w:t xml:space="preserve"> </w:t>
      </w:r>
      <w:r w:rsidRPr="00913D15">
        <w:rPr>
          <w:rFonts w:ascii="Arial Narrow" w:hAnsi="Arial Narrow"/>
          <w:i/>
          <w:sz w:val="20"/>
          <w:szCs w:val="20"/>
        </w:rPr>
        <w:t xml:space="preserve">Id. </w:t>
      </w:r>
      <w:r w:rsidRPr="00913D15">
        <w:rPr>
          <w:rFonts w:ascii="Arial Narrow" w:eastAsia="Times New Roman" w:hAnsi="Arial Narrow"/>
          <w:sz w:val="20"/>
          <w:szCs w:val="20"/>
        </w:rPr>
        <w:t>Note that Lewis Morris, C</w:t>
      </w:r>
      <w:r w:rsidRPr="00913D15">
        <w:rPr>
          <w:rFonts w:ascii="Arial Narrow" w:eastAsia="Times New Roman" w:hAnsi="Arial Narrow"/>
          <w:color w:val="000000"/>
          <w:sz w:val="20"/>
          <w:szCs w:val="20"/>
        </w:rPr>
        <w:t>hief Counsel to HHS OIG, has also described HHS OIG’s increased use of its exclusion authority, applying where e</w:t>
      </w:r>
      <w:r w:rsidRPr="00913D15">
        <w:rPr>
          <w:rFonts w:ascii="Arial Narrow" w:hAnsi="Arial Narrow"/>
          <w:sz w:val="20"/>
          <w:szCs w:val="20"/>
        </w:rPr>
        <w:t xml:space="preserve">xecutives </w:t>
      </w:r>
      <w:r w:rsidRPr="00913D15">
        <w:rPr>
          <w:rFonts w:ascii="Arial Narrow" w:hAnsi="Arial Narrow"/>
          <w:i/>
          <w:sz w:val="20"/>
          <w:szCs w:val="20"/>
        </w:rPr>
        <w:t>knew or should have known</w:t>
      </w:r>
      <w:r w:rsidRPr="00913D15">
        <w:rPr>
          <w:rFonts w:ascii="Arial Narrow" w:hAnsi="Arial Narrow"/>
          <w:sz w:val="20"/>
          <w:szCs w:val="20"/>
        </w:rPr>
        <w:t xml:space="preserve"> of the underlying criminal misconduct of their organizations (See Testimony of Lewis Morris before the House Committee on Ways and Means, Subcommittee on Oversight (March 2, 2011). </w:t>
      </w:r>
      <w:r w:rsidRPr="00913D15">
        <w:rPr>
          <w:rFonts w:ascii="Arial Narrow" w:eastAsia="Times New Roman" w:hAnsi="Arial Narrow"/>
          <w:color w:val="000000"/>
          <w:sz w:val="20"/>
          <w:szCs w:val="20"/>
        </w:rPr>
        <w:t>According to Mr. Morris, “e</w:t>
      </w:r>
      <w:r w:rsidRPr="00913D15">
        <w:rPr>
          <w:rFonts w:ascii="Arial Narrow" w:hAnsi="Arial Narrow"/>
          <w:sz w:val="20"/>
          <w:szCs w:val="20"/>
        </w:rPr>
        <w:t>ven if [the HHS OIG] decide[s] exclusion of a major health care entity is not in the best interests of health care programs and their beneficiaries, [the HHS OIG] may decide that executives in positions of responsibility at the time of the fraud should no longer hold such positions with entities that do business with the programs.</w:t>
      </w:r>
      <w:r>
        <w:rPr>
          <w:rFonts w:ascii="Arial Narrow" w:hAnsi="Arial Narrow"/>
          <w:sz w:val="20"/>
          <w:szCs w:val="20"/>
        </w:rPr>
        <w:t>”</w:t>
      </w:r>
      <w:r w:rsidRPr="00913D15">
        <w:rPr>
          <w:rFonts w:ascii="Arial Narrow" w:hAnsi="Arial Narrow"/>
          <w:sz w:val="20"/>
          <w:szCs w:val="20"/>
        </w:rPr>
        <w:t xml:space="preserve"> A copy of Mr. Morris’ testimony can be obtained on the HHS OIG’s website at </w:t>
      </w:r>
      <w:hyperlink r:id="rId4" w:history="1">
        <w:r w:rsidRPr="00913D15">
          <w:rPr>
            <w:rStyle w:val="Hyperlink"/>
            <w:rFonts w:ascii="Arial Narrow" w:hAnsi="Arial Narrow"/>
            <w:sz w:val="20"/>
            <w:szCs w:val="20"/>
          </w:rPr>
          <w:t>http://oig.hhs.gov/newsroom/testimony-and-speeches/index.asp</w:t>
        </w:r>
      </w:hyperlink>
      <w:r w:rsidRPr="00913D15">
        <w:rPr>
          <w:rFonts w:ascii="Arial Narrow" w:hAnsi="Arial Narrow"/>
          <w:sz w:val="20"/>
          <w:szCs w:val="20"/>
        </w:rPr>
        <w:t xml:space="preserve">. Also note the DOJ issuance of </w:t>
      </w:r>
      <w:r w:rsidRPr="00913D15">
        <w:rPr>
          <w:rFonts w:ascii="Arial Narrow" w:hAnsi="Arial Narrow" w:cs="Times"/>
          <w:sz w:val="20"/>
          <w:szCs w:val="20"/>
        </w:rPr>
        <w:t>a September 9, 2015 Memorandum from Deputy Attorney General Sally Quillian Yates to all DOJ attorneys (a.k.a., the Yates Memo). The Yates Memo announced a further DOJ initiative to hold individuals responsible for corporate misdeeds, both criminal and civil. A copy of the Yates memo can be found on the DOJ website at  </w:t>
      </w:r>
      <w:r w:rsidRPr="00913D15">
        <w:rPr>
          <w:rFonts w:ascii="Arial Narrow" w:hAnsi="Arial Narrow"/>
          <w:sz w:val="20"/>
          <w:szCs w:val="20"/>
        </w:rPr>
        <w:t xml:space="preserve"> </w:t>
      </w:r>
      <w:hyperlink r:id="rId5" w:history="1">
        <w:r w:rsidRPr="00913D15">
          <w:rPr>
            <w:rStyle w:val="Hyperlink"/>
            <w:rFonts w:ascii="Arial Narrow" w:hAnsi="Arial Narrow" w:cs="Times"/>
            <w:sz w:val="20"/>
            <w:szCs w:val="20"/>
          </w:rPr>
          <w:t>http://www.justice.gov/dag/file/769036/download</w:t>
        </w:r>
      </w:hyperlink>
      <w:r w:rsidRPr="00913D15">
        <w:rPr>
          <w:rFonts w:ascii="Arial Narrow" w:hAnsi="Arial Narrow" w:cs="Times"/>
          <w:sz w:val="20"/>
          <w:szCs w:val="20"/>
        </w:rPr>
        <w:t xml:space="preserve">. The principles set forth in the Yates Memo </w:t>
      </w:r>
      <w:r>
        <w:rPr>
          <w:rFonts w:ascii="Arial Narrow" w:hAnsi="Arial Narrow" w:cs="Times"/>
          <w:sz w:val="20"/>
          <w:szCs w:val="20"/>
        </w:rPr>
        <w:t xml:space="preserve">supplement </w:t>
      </w:r>
      <w:r w:rsidRPr="00913D15">
        <w:rPr>
          <w:rFonts w:ascii="Arial Narrow" w:hAnsi="Arial Narrow" w:cs="Times"/>
          <w:sz w:val="20"/>
          <w:szCs w:val="20"/>
        </w:rPr>
        <w:t>the United States Attorney’s Manual in the Principles of Federal Prosecution of Business Organizations.</w:t>
      </w:r>
      <w:r w:rsidRPr="00913D15">
        <w:rPr>
          <w:rFonts w:ascii="Arial Narrow" w:hAnsi="Arial Narrow" w:cs="Times"/>
          <w:position w:val="10"/>
          <w:sz w:val="20"/>
          <w:szCs w:val="20"/>
        </w:rPr>
        <w:t xml:space="preserve"> </w:t>
      </w:r>
      <w:r w:rsidRPr="00913D15">
        <w:rPr>
          <w:rFonts w:ascii="Arial Narrow" w:hAnsi="Arial Narrow" w:cs="Times"/>
          <w:sz w:val="20"/>
          <w:szCs w:val="20"/>
        </w:rPr>
        <w:t xml:space="preserve">Department of Justice: Title 9: Principles of Federal Prosecution of Business Organizations, Chapter 9-28.000. </w:t>
      </w:r>
      <w:r>
        <w:rPr>
          <w:rFonts w:ascii="Arial Narrow" w:hAnsi="Arial Narrow" w:cs="Times"/>
          <w:sz w:val="20"/>
          <w:szCs w:val="20"/>
        </w:rPr>
        <w:t>A copy of this manual can be found on the DOJ website at</w:t>
      </w:r>
      <w:r w:rsidRPr="00913D15">
        <w:rPr>
          <w:rFonts w:ascii="Arial Narrow" w:hAnsi="Arial Narrow" w:cs="Times"/>
          <w:sz w:val="20"/>
          <w:szCs w:val="20"/>
        </w:rPr>
        <w:t xml:space="preserve"> </w:t>
      </w:r>
      <w:hyperlink r:id="rId6" w:history="1">
        <w:r w:rsidRPr="00913D15">
          <w:rPr>
            <w:rStyle w:val="Hyperlink"/>
            <w:rFonts w:ascii="Arial Narrow" w:hAnsi="Arial Narrow" w:cs="Times"/>
            <w:sz w:val="20"/>
            <w:szCs w:val="20"/>
          </w:rPr>
          <w:t>http://bit.ly/justice-corp-charging</w:t>
        </w:r>
      </w:hyperlink>
      <w:r w:rsidRPr="00913D15">
        <w:rPr>
          <w:rFonts w:ascii="Arial Narrow" w:hAnsi="Arial Narrow" w:cs="Times"/>
          <w:sz w:val="20"/>
          <w:szCs w:val="20"/>
        </w:rPr>
        <w:t xml:space="preserve">. Government attorneys are required to adhere to the policies set forth in </w:t>
      </w:r>
      <w:r>
        <w:rPr>
          <w:rFonts w:ascii="Arial Narrow" w:hAnsi="Arial Narrow" w:cs="Times"/>
          <w:sz w:val="20"/>
          <w:szCs w:val="20"/>
        </w:rPr>
        <w:t>this</w:t>
      </w:r>
      <w:r w:rsidRPr="00913D15">
        <w:rPr>
          <w:rFonts w:ascii="Arial Narrow" w:hAnsi="Arial Narrow" w:cs="Times"/>
          <w:sz w:val="20"/>
          <w:szCs w:val="20"/>
        </w:rPr>
        <w:t xml:space="preserve"> Manual.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C1D66"/>
    <w:multiLevelType w:val="hybridMultilevel"/>
    <w:tmpl w:val="2B1E6A98"/>
    <w:lvl w:ilvl="0" w:tplc="D87468CA">
      <w:start w:val="1"/>
      <w:numFmt w:val="bullet"/>
      <w:lvlText w:val=""/>
      <w:lvlJc w:val="left"/>
      <w:pPr>
        <w:tabs>
          <w:tab w:val="num" w:pos="720"/>
        </w:tabs>
        <w:ind w:left="720" w:hanging="360"/>
      </w:pPr>
      <w:rPr>
        <w:rFonts w:ascii="Wingdings" w:hAnsi="Wingdings" w:hint="default"/>
      </w:rPr>
    </w:lvl>
    <w:lvl w:ilvl="1" w:tplc="8F74F2A4">
      <w:start w:val="1"/>
      <w:numFmt w:val="bullet"/>
      <w:lvlText w:val=""/>
      <w:lvlJc w:val="left"/>
      <w:pPr>
        <w:tabs>
          <w:tab w:val="num" w:pos="1440"/>
        </w:tabs>
        <w:ind w:left="1440" w:hanging="360"/>
      </w:pPr>
      <w:rPr>
        <w:rFonts w:ascii="Wingdings" w:hAnsi="Wingdings" w:hint="default"/>
      </w:rPr>
    </w:lvl>
    <w:lvl w:ilvl="2" w:tplc="36BC394C" w:tentative="1">
      <w:start w:val="1"/>
      <w:numFmt w:val="bullet"/>
      <w:lvlText w:val=""/>
      <w:lvlJc w:val="left"/>
      <w:pPr>
        <w:tabs>
          <w:tab w:val="num" w:pos="2160"/>
        </w:tabs>
        <w:ind w:left="2160" w:hanging="360"/>
      </w:pPr>
      <w:rPr>
        <w:rFonts w:ascii="Wingdings" w:hAnsi="Wingdings" w:hint="default"/>
      </w:rPr>
    </w:lvl>
    <w:lvl w:ilvl="3" w:tplc="75F80BD6" w:tentative="1">
      <w:start w:val="1"/>
      <w:numFmt w:val="bullet"/>
      <w:lvlText w:val=""/>
      <w:lvlJc w:val="left"/>
      <w:pPr>
        <w:tabs>
          <w:tab w:val="num" w:pos="2880"/>
        </w:tabs>
        <w:ind w:left="2880" w:hanging="360"/>
      </w:pPr>
      <w:rPr>
        <w:rFonts w:ascii="Wingdings" w:hAnsi="Wingdings" w:hint="default"/>
      </w:rPr>
    </w:lvl>
    <w:lvl w:ilvl="4" w:tplc="65B2B53C" w:tentative="1">
      <w:start w:val="1"/>
      <w:numFmt w:val="bullet"/>
      <w:lvlText w:val=""/>
      <w:lvlJc w:val="left"/>
      <w:pPr>
        <w:tabs>
          <w:tab w:val="num" w:pos="3600"/>
        </w:tabs>
        <w:ind w:left="3600" w:hanging="360"/>
      </w:pPr>
      <w:rPr>
        <w:rFonts w:ascii="Wingdings" w:hAnsi="Wingdings" w:hint="default"/>
      </w:rPr>
    </w:lvl>
    <w:lvl w:ilvl="5" w:tplc="6A3A9418" w:tentative="1">
      <w:start w:val="1"/>
      <w:numFmt w:val="bullet"/>
      <w:lvlText w:val=""/>
      <w:lvlJc w:val="left"/>
      <w:pPr>
        <w:tabs>
          <w:tab w:val="num" w:pos="4320"/>
        </w:tabs>
        <w:ind w:left="4320" w:hanging="360"/>
      </w:pPr>
      <w:rPr>
        <w:rFonts w:ascii="Wingdings" w:hAnsi="Wingdings" w:hint="default"/>
      </w:rPr>
    </w:lvl>
    <w:lvl w:ilvl="6" w:tplc="E16A5A0E" w:tentative="1">
      <w:start w:val="1"/>
      <w:numFmt w:val="bullet"/>
      <w:lvlText w:val=""/>
      <w:lvlJc w:val="left"/>
      <w:pPr>
        <w:tabs>
          <w:tab w:val="num" w:pos="5040"/>
        </w:tabs>
        <w:ind w:left="5040" w:hanging="360"/>
      </w:pPr>
      <w:rPr>
        <w:rFonts w:ascii="Wingdings" w:hAnsi="Wingdings" w:hint="default"/>
      </w:rPr>
    </w:lvl>
    <w:lvl w:ilvl="7" w:tplc="60BC889A" w:tentative="1">
      <w:start w:val="1"/>
      <w:numFmt w:val="bullet"/>
      <w:lvlText w:val=""/>
      <w:lvlJc w:val="left"/>
      <w:pPr>
        <w:tabs>
          <w:tab w:val="num" w:pos="5760"/>
        </w:tabs>
        <w:ind w:left="5760" w:hanging="360"/>
      </w:pPr>
      <w:rPr>
        <w:rFonts w:ascii="Wingdings" w:hAnsi="Wingdings" w:hint="default"/>
      </w:rPr>
    </w:lvl>
    <w:lvl w:ilvl="8" w:tplc="F4145C6E" w:tentative="1">
      <w:start w:val="1"/>
      <w:numFmt w:val="bullet"/>
      <w:lvlText w:val=""/>
      <w:lvlJc w:val="left"/>
      <w:pPr>
        <w:tabs>
          <w:tab w:val="num" w:pos="6480"/>
        </w:tabs>
        <w:ind w:left="6480" w:hanging="360"/>
      </w:pPr>
      <w:rPr>
        <w:rFonts w:ascii="Wingdings" w:hAnsi="Wingdings" w:hint="default"/>
      </w:rPr>
    </w:lvl>
  </w:abstractNum>
  <w:abstractNum w:abstractNumId="2">
    <w:nsid w:val="2ABC3046"/>
    <w:multiLevelType w:val="hybridMultilevel"/>
    <w:tmpl w:val="67DE2812"/>
    <w:lvl w:ilvl="0" w:tplc="98D6DE88">
      <w:start w:val="1"/>
      <w:numFmt w:val="bullet"/>
      <w:lvlText w:val=""/>
      <w:lvlJc w:val="left"/>
      <w:pPr>
        <w:tabs>
          <w:tab w:val="num" w:pos="720"/>
        </w:tabs>
        <w:ind w:left="720" w:hanging="360"/>
      </w:pPr>
      <w:rPr>
        <w:rFonts w:ascii="Wingdings" w:hAnsi="Wingdings" w:hint="default"/>
      </w:rPr>
    </w:lvl>
    <w:lvl w:ilvl="1" w:tplc="A5FA0D1E" w:tentative="1">
      <w:start w:val="1"/>
      <w:numFmt w:val="bullet"/>
      <w:lvlText w:val=""/>
      <w:lvlJc w:val="left"/>
      <w:pPr>
        <w:tabs>
          <w:tab w:val="num" w:pos="1440"/>
        </w:tabs>
        <w:ind w:left="1440" w:hanging="360"/>
      </w:pPr>
      <w:rPr>
        <w:rFonts w:ascii="Wingdings" w:hAnsi="Wingdings" w:hint="default"/>
      </w:rPr>
    </w:lvl>
    <w:lvl w:ilvl="2" w:tplc="B8F4DED2" w:tentative="1">
      <w:start w:val="1"/>
      <w:numFmt w:val="bullet"/>
      <w:lvlText w:val=""/>
      <w:lvlJc w:val="left"/>
      <w:pPr>
        <w:tabs>
          <w:tab w:val="num" w:pos="2160"/>
        </w:tabs>
        <w:ind w:left="2160" w:hanging="360"/>
      </w:pPr>
      <w:rPr>
        <w:rFonts w:ascii="Wingdings" w:hAnsi="Wingdings" w:hint="default"/>
      </w:rPr>
    </w:lvl>
    <w:lvl w:ilvl="3" w:tplc="CEECB600" w:tentative="1">
      <w:start w:val="1"/>
      <w:numFmt w:val="bullet"/>
      <w:lvlText w:val=""/>
      <w:lvlJc w:val="left"/>
      <w:pPr>
        <w:tabs>
          <w:tab w:val="num" w:pos="2880"/>
        </w:tabs>
        <w:ind w:left="2880" w:hanging="360"/>
      </w:pPr>
      <w:rPr>
        <w:rFonts w:ascii="Wingdings" w:hAnsi="Wingdings" w:hint="default"/>
      </w:rPr>
    </w:lvl>
    <w:lvl w:ilvl="4" w:tplc="8EB4174A" w:tentative="1">
      <w:start w:val="1"/>
      <w:numFmt w:val="bullet"/>
      <w:lvlText w:val=""/>
      <w:lvlJc w:val="left"/>
      <w:pPr>
        <w:tabs>
          <w:tab w:val="num" w:pos="3600"/>
        </w:tabs>
        <w:ind w:left="3600" w:hanging="360"/>
      </w:pPr>
      <w:rPr>
        <w:rFonts w:ascii="Wingdings" w:hAnsi="Wingdings" w:hint="default"/>
      </w:rPr>
    </w:lvl>
    <w:lvl w:ilvl="5" w:tplc="B7DAC2B2" w:tentative="1">
      <w:start w:val="1"/>
      <w:numFmt w:val="bullet"/>
      <w:lvlText w:val=""/>
      <w:lvlJc w:val="left"/>
      <w:pPr>
        <w:tabs>
          <w:tab w:val="num" w:pos="4320"/>
        </w:tabs>
        <w:ind w:left="4320" w:hanging="360"/>
      </w:pPr>
      <w:rPr>
        <w:rFonts w:ascii="Wingdings" w:hAnsi="Wingdings" w:hint="default"/>
      </w:rPr>
    </w:lvl>
    <w:lvl w:ilvl="6" w:tplc="DE3E7970" w:tentative="1">
      <w:start w:val="1"/>
      <w:numFmt w:val="bullet"/>
      <w:lvlText w:val=""/>
      <w:lvlJc w:val="left"/>
      <w:pPr>
        <w:tabs>
          <w:tab w:val="num" w:pos="5040"/>
        </w:tabs>
        <w:ind w:left="5040" w:hanging="360"/>
      </w:pPr>
      <w:rPr>
        <w:rFonts w:ascii="Wingdings" w:hAnsi="Wingdings" w:hint="default"/>
      </w:rPr>
    </w:lvl>
    <w:lvl w:ilvl="7" w:tplc="635EA730" w:tentative="1">
      <w:start w:val="1"/>
      <w:numFmt w:val="bullet"/>
      <w:lvlText w:val=""/>
      <w:lvlJc w:val="left"/>
      <w:pPr>
        <w:tabs>
          <w:tab w:val="num" w:pos="5760"/>
        </w:tabs>
        <w:ind w:left="5760" w:hanging="360"/>
      </w:pPr>
      <w:rPr>
        <w:rFonts w:ascii="Wingdings" w:hAnsi="Wingdings" w:hint="default"/>
      </w:rPr>
    </w:lvl>
    <w:lvl w:ilvl="8" w:tplc="5B623B0E" w:tentative="1">
      <w:start w:val="1"/>
      <w:numFmt w:val="bullet"/>
      <w:lvlText w:val=""/>
      <w:lvlJc w:val="left"/>
      <w:pPr>
        <w:tabs>
          <w:tab w:val="num" w:pos="6480"/>
        </w:tabs>
        <w:ind w:left="6480" w:hanging="360"/>
      </w:pPr>
      <w:rPr>
        <w:rFonts w:ascii="Wingdings" w:hAnsi="Wingdings" w:hint="default"/>
      </w:rPr>
    </w:lvl>
  </w:abstractNum>
  <w:abstractNum w:abstractNumId="3">
    <w:nsid w:val="3AFA4660"/>
    <w:multiLevelType w:val="hybridMultilevel"/>
    <w:tmpl w:val="31ACE666"/>
    <w:lvl w:ilvl="0" w:tplc="728856C8">
      <w:start w:val="1"/>
      <w:numFmt w:val="bullet"/>
      <w:lvlText w:val=""/>
      <w:lvlJc w:val="left"/>
      <w:pPr>
        <w:tabs>
          <w:tab w:val="num" w:pos="720"/>
        </w:tabs>
        <w:ind w:left="720" w:hanging="360"/>
      </w:pPr>
      <w:rPr>
        <w:rFonts w:ascii="Wingdings" w:hAnsi="Wingdings" w:hint="default"/>
      </w:rPr>
    </w:lvl>
    <w:lvl w:ilvl="1" w:tplc="BDA29D36">
      <w:start w:val="1"/>
      <w:numFmt w:val="bullet"/>
      <w:lvlText w:val=""/>
      <w:lvlJc w:val="left"/>
      <w:pPr>
        <w:tabs>
          <w:tab w:val="num" w:pos="1440"/>
        </w:tabs>
        <w:ind w:left="1440" w:hanging="360"/>
      </w:pPr>
      <w:rPr>
        <w:rFonts w:ascii="Wingdings" w:hAnsi="Wingdings" w:hint="default"/>
      </w:rPr>
    </w:lvl>
    <w:lvl w:ilvl="2" w:tplc="A762EF0A" w:tentative="1">
      <w:start w:val="1"/>
      <w:numFmt w:val="bullet"/>
      <w:lvlText w:val=""/>
      <w:lvlJc w:val="left"/>
      <w:pPr>
        <w:tabs>
          <w:tab w:val="num" w:pos="2160"/>
        </w:tabs>
        <w:ind w:left="2160" w:hanging="360"/>
      </w:pPr>
      <w:rPr>
        <w:rFonts w:ascii="Wingdings" w:hAnsi="Wingdings" w:hint="default"/>
      </w:rPr>
    </w:lvl>
    <w:lvl w:ilvl="3" w:tplc="D2B03108" w:tentative="1">
      <w:start w:val="1"/>
      <w:numFmt w:val="bullet"/>
      <w:lvlText w:val=""/>
      <w:lvlJc w:val="left"/>
      <w:pPr>
        <w:tabs>
          <w:tab w:val="num" w:pos="2880"/>
        </w:tabs>
        <w:ind w:left="2880" w:hanging="360"/>
      </w:pPr>
      <w:rPr>
        <w:rFonts w:ascii="Wingdings" w:hAnsi="Wingdings" w:hint="default"/>
      </w:rPr>
    </w:lvl>
    <w:lvl w:ilvl="4" w:tplc="6778F198" w:tentative="1">
      <w:start w:val="1"/>
      <w:numFmt w:val="bullet"/>
      <w:lvlText w:val=""/>
      <w:lvlJc w:val="left"/>
      <w:pPr>
        <w:tabs>
          <w:tab w:val="num" w:pos="3600"/>
        </w:tabs>
        <w:ind w:left="3600" w:hanging="360"/>
      </w:pPr>
      <w:rPr>
        <w:rFonts w:ascii="Wingdings" w:hAnsi="Wingdings" w:hint="default"/>
      </w:rPr>
    </w:lvl>
    <w:lvl w:ilvl="5" w:tplc="DAFED120" w:tentative="1">
      <w:start w:val="1"/>
      <w:numFmt w:val="bullet"/>
      <w:lvlText w:val=""/>
      <w:lvlJc w:val="left"/>
      <w:pPr>
        <w:tabs>
          <w:tab w:val="num" w:pos="4320"/>
        </w:tabs>
        <w:ind w:left="4320" w:hanging="360"/>
      </w:pPr>
      <w:rPr>
        <w:rFonts w:ascii="Wingdings" w:hAnsi="Wingdings" w:hint="default"/>
      </w:rPr>
    </w:lvl>
    <w:lvl w:ilvl="6" w:tplc="575823D0" w:tentative="1">
      <w:start w:val="1"/>
      <w:numFmt w:val="bullet"/>
      <w:lvlText w:val=""/>
      <w:lvlJc w:val="left"/>
      <w:pPr>
        <w:tabs>
          <w:tab w:val="num" w:pos="5040"/>
        </w:tabs>
        <w:ind w:left="5040" w:hanging="360"/>
      </w:pPr>
      <w:rPr>
        <w:rFonts w:ascii="Wingdings" w:hAnsi="Wingdings" w:hint="default"/>
      </w:rPr>
    </w:lvl>
    <w:lvl w:ilvl="7" w:tplc="6786FFA0" w:tentative="1">
      <w:start w:val="1"/>
      <w:numFmt w:val="bullet"/>
      <w:lvlText w:val=""/>
      <w:lvlJc w:val="left"/>
      <w:pPr>
        <w:tabs>
          <w:tab w:val="num" w:pos="5760"/>
        </w:tabs>
        <w:ind w:left="5760" w:hanging="360"/>
      </w:pPr>
      <w:rPr>
        <w:rFonts w:ascii="Wingdings" w:hAnsi="Wingdings" w:hint="default"/>
      </w:rPr>
    </w:lvl>
    <w:lvl w:ilvl="8" w:tplc="46AECD04" w:tentative="1">
      <w:start w:val="1"/>
      <w:numFmt w:val="bullet"/>
      <w:lvlText w:val=""/>
      <w:lvlJc w:val="left"/>
      <w:pPr>
        <w:tabs>
          <w:tab w:val="num" w:pos="6480"/>
        </w:tabs>
        <w:ind w:left="6480" w:hanging="360"/>
      </w:pPr>
      <w:rPr>
        <w:rFonts w:ascii="Wingdings" w:hAnsi="Wingdings" w:hint="default"/>
      </w:rPr>
    </w:lvl>
  </w:abstractNum>
  <w:abstractNum w:abstractNumId="4">
    <w:nsid w:val="3EFE4DF4"/>
    <w:multiLevelType w:val="hybridMultilevel"/>
    <w:tmpl w:val="C0AE719A"/>
    <w:lvl w:ilvl="0" w:tplc="B296B9E0">
      <w:start w:val="1"/>
      <w:numFmt w:val="bullet"/>
      <w:lvlText w:val=""/>
      <w:lvlJc w:val="left"/>
      <w:pPr>
        <w:tabs>
          <w:tab w:val="num" w:pos="720"/>
        </w:tabs>
        <w:ind w:left="720" w:hanging="360"/>
      </w:pPr>
      <w:rPr>
        <w:rFonts w:ascii="Wingdings" w:hAnsi="Wingdings" w:hint="default"/>
      </w:rPr>
    </w:lvl>
    <w:lvl w:ilvl="1" w:tplc="77C6849E">
      <w:start w:val="1"/>
      <w:numFmt w:val="bullet"/>
      <w:lvlText w:val=""/>
      <w:lvlJc w:val="left"/>
      <w:pPr>
        <w:tabs>
          <w:tab w:val="num" w:pos="1440"/>
        </w:tabs>
        <w:ind w:left="1440" w:hanging="360"/>
      </w:pPr>
      <w:rPr>
        <w:rFonts w:ascii="Wingdings" w:hAnsi="Wingdings" w:hint="default"/>
      </w:rPr>
    </w:lvl>
    <w:lvl w:ilvl="2" w:tplc="242E4EBA" w:tentative="1">
      <w:start w:val="1"/>
      <w:numFmt w:val="bullet"/>
      <w:lvlText w:val=""/>
      <w:lvlJc w:val="left"/>
      <w:pPr>
        <w:tabs>
          <w:tab w:val="num" w:pos="2160"/>
        </w:tabs>
        <w:ind w:left="2160" w:hanging="360"/>
      </w:pPr>
      <w:rPr>
        <w:rFonts w:ascii="Wingdings" w:hAnsi="Wingdings" w:hint="default"/>
      </w:rPr>
    </w:lvl>
    <w:lvl w:ilvl="3" w:tplc="88804178" w:tentative="1">
      <w:start w:val="1"/>
      <w:numFmt w:val="bullet"/>
      <w:lvlText w:val=""/>
      <w:lvlJc w:val="left"/>
      <w:pPr>
        <w:tabs>
          <w:tab w:val="num" w:pos="2880"/>
        </w:tabs>
        <w:ind w:left="2880" w:hanging="360"/>
      </w:pPr>
      <w:rPr>
        <w:rFonts w:ascii="Wingdings" w:hAnsi="Wingdings" w:hint="default"/>
      </w:rPr>
    </w:lvl>
    <w:lvl w:ilvl="4" w:tplc="1682EF42" w:tentative="1">
      <w:start w:val="1"/>
      <w:numFmt w:val="bullet"/>
      <w:lvlText w:val=""/>
      <w:lvlJc w:val="left"/>
      <w:pPr>
        <w:tabs>
          <w:tab w:val="num" w:pos="3600"/>
        </w:tabs>
        <w:ind w:left="3600" w:hanging="360"/>
      </w:pPr>
      <w:rPr>
        <w:rFonts w:ascii="Wingdings" w:hAnsi="Wingdings" w:hint="default"/>
      </w:rPr>
    </w:lvl>
    <w:lvl w:ilvl="5" w:tplc="5C5E0802" w:tentative="1">
      <w:start w:val="1"/>
      <w:numFmt w:val="bullet"/>
      <w:lvlText w:val=""/>
      <w:lvlJc w:val="left"/>
      <w:pPr>
        <w:tabs>
          <w:tab w:val="num" w:pos="4320"/>
        </w:tabs>
        <w:ind w:left="4320" w:hanging="360"/>
      </w:pPr>
      <w:rPr>
        <w:rFonts w:ascii="Wingdings" w:hAnsi="Wingdings" w:hint="default"/>
      </w:rPr>
    </w:lvl>
    <w:lvl w:ilvl="6" w:tplc="88C683CC" w:tentative="1">
      <w:start w:val="1"/>
      <w:numFmt w:val="bullet"/>
      <w:lvlText w:val=""/>
      <w:lvlJc w:val="left"/>
      <w:pPr>
        <w:tabs>
          <w:tab w:val="num" w:pos="5040"/>
        </w:tabs>
        <w:ind w:left="5040" w:hanging="360"/>
      </w:pPr>
      <w:rPr>
        <w:rFonts w:ascii="Wingdings" w:hAnsi="Wingdings" w:hint="default"/>
      </w:rPr>
    </w:lvl>
    <w:lvl w:ilvl="7" w:tplc="94C82480" w:tentative="1">
      <w:start w:val="1"/>
      <w:numFmt w:val="bullet"/>
      <w:lvlText w:val=""/>
      <w:lvlJc w:val="left"/>
      <w:pPr>
        <w:tabs>
          <w:tab w:val="num" w:pos="5760"/>
        </w:tabs>
        <w:ind w:left="5760" w:hanging="360"/>
      </w:pPr>
      <w:rPr>
        <w:rFonts w:ascii="Wingdings" w:hAnsi="Wingdings" w:hint="default"/>
      </w:rPr>
    </w:lvl>
    <w:lvl w:ilvl="8" w:tplc="89668346" w:tentative="1">
      <w:start w:val="1"/>
      <w:numFmt w:val="bullet"/>
      <w:lvlText w:val=""/>
      <w:lvlJc w:val="left"/>
      <w:pPr>
        <w:tabs>
          <w:tab w:val="num" w:pos="6480"/>
        </w:tabs>
        <w:ind w:left="6480" w:hanging="360"/>
      </w:pPr>
      <w:rPr>
        <w:rFonts w:ascii="Wingdings" w:hAnsi="Wingdings" w:hint="default"/>
      </w:rPr>
    </w:lvl>
  </w:abstractNum>
  <w:abstractNum w:abstractNumId="5">
    <w:nsid w:val="6C9B362E"/>
    <w:multiLevelType w:val="hybridMultilevel"/>
    <w:tmpl w:val="61DE05E6"/>
    <w:lvl w:ilvl="0" w:tplc="B20AA8AC">
      <w:start w:val="1"/>
      <w:numFmt w:val="bullet"/>
      <w:lvlText w:val=""/>
      <w:lvlJc w:val="left"/>
      <w:pPr>
        <w:tabs>
          <w:tab w:val="num" w:pos="720"/>
        </w:tabs>
        <w:ind w:left="720" w:hanging="360"/>
      </w:pPr>
      <w:rPr>
        <w:rFonts w:ascii="Wingdings" w:hAnsi="Wingdings" w:hint="default"/>
      </w:rPr>
    </w:lvl>
    <w:lvl w:ilvl="1" w:tplc="45DC7608" w:tentative="1">
      <w:start w:val="1"/>
      <w:numFmt w:val="bullet"/>
      <w:lvlText w:val=""/>
      <w:lvlJc w:val="left"/>
      <w:pPr>
        <w:tabs>
          <w:tab w:val="num" w:pos="1440"/>
        </w:tabs>
        <w:ind w:left="1440" w:hanging="360"/>
      </w:pPr>
      <w:rPr>
        <w:rFonts w:ascii="Wingdings" w:hAnsi="Wingdings" w:hint="default"/>
      </w:rPr>
    </w:lvl>
    <w:lvl w:ilvl="2" w:tplc="851CF17C" w:tentative="1">
      <w:start w:val="1"/>
      <w:numFmt w:val="bullet"/>
      <w:lvlText w:val=""/>
      <w:lvlJc w:val="left"/>
      <w:pPr>
        <w:tabs>
          <w:tab w:val="num" w:pos="2160"/>
        </w:tabs>
        <w:ind w:left="2160" w:hanging="360"/>
      </w:pPr>
      <w:rPr>
        <w:rFonts w:ascii="Wingdings" w:hAnsi="Wingdings" w:hint="default"/>
      </w:rPr>
    </w:lvl>
    <w:lvl w:ilvl="3" w:tplc="BAD86842" w:tentative="1">
      <w:start w:val="1"/>
      <w:numFmt w:val="bullet"/>
      <w:lvlText w:val=""/>
      <w:lvlJc w:val="left"/>
      <w:pPr>
        <w:tabs>
          <w:tab w:val="num" w:pos="2880"/>
        </w:tabs>
        <w:ind w:left="2880" w:hanging="360"/>
      </w:pPr>
      <w:rPr>
        <w:rFonts w:ascii="Wingdings" w:hAnsi="Wingdings" w:hint="default"/>
      </w:rPr>
    </w:lvl>
    <w:lvl w:ilvl="4" w:tplc="42E24902" w:tentative="1">
      <w:start w:val="1"/>
      <w:numFmt w:val="bullet"/>
      <w:lvlText w:val=""/>
      <w:lvlJc w:val="left"/>
      <w:pPr>
        <w:tabs>
          <w:tab w:val="num" w:pos="3600"/>
        </w:tabs>
        <w:ind w:left="3600" w:hanging="360"/>
      </w:pPr>
      <w:rPr>
        <w:rFonts w:ascii="Wingdings" w:hAnsi="Wingdings" w:hint="default"/>
      </w:rPr>
    </w:lvl>
    <w:lvl w:ilvl="5" w:tplc="36663038" w:tentative="1">
      <w:start w:val="1"/>
      <w:numFmt w:val="bullet"/>
      <w:lvlText w:val=""/>
      <w:lvlJc w:val="left"/>
      <w:pPr>
        <w:tabs>
          <w:tab w:val="num" w:pos="4320"/>
        </w:tabs>
        <w:ind w:left="4320" w:hanging="360"/>
      </w:pPr>
      <w:rPr>
        <w:rFonts w:ascii="Wingdings" w:hAnsi="Wingdings" w:hint="default"/>
      </w:rPr>
    </w:lvl>
    <w:lvl w:ilvl="6" w:tplc="29340BC4" w:tentative="1">
      <w:start w:val="1"/>
      <w:numFmt w:val="bullet"/>
      <w:lvlText w:val=""/>
      <w:lvlJc w:val="left"/>
      <w:pPr>
        <w:tabs>
          <w:tab w:val="num" w:pos="5040"/>
        </w:tabs>
        <w:ind w:left="5040" w:hanging="360"/>
      </w:pPr>
      <w:rPr>
        <w:rFonts w:ascii="Wingdings" w:hAnsi="Wingdings" w:hint="default"/>
      </w:rPr>
    </w:lvl>
    <w:lvl w:ilvl="7" w:tplc="9F643C78" w:tentative="1">
      <w:start w:val="1"/>
      <w:numFmt w:val="bullet"/>
      <w:lvlText w:val=""/>
      <w:lvlJc w:val="left"/>
      <w:pPr>
        <w:tabs>
          <w:tab w:val="num" w:pos="5760"/>
        </w:tabs>
        <w:ind w:left="5760" w:hanging="360"/>
      </w:pPr>
      <w:rPr>
        <w:rFonts w:ascii="Wingdings" w:hAnsi="Wingdings" w:hint="default"/>
      </w:rPr>
    </w:lvl>
    <w:lvl w:ilvl="8" w:tplc="59F0AD6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21"/>
    <w:rsid w:val="0001060D"/>
    <w:rsid w:val="00025C3D"/>
    <w:rsid w:val="00027867"/>
    <w:rsid w:val="000313C6"/>
    <w:rsid w:val="00034CA0"/>
    <w:rsid w:val="00074389"/>
    <w:rsid w:val="00080685"/>
    <w:rsid w:val="00081C56"/>
    <w:rsid w:val="00092A80"/>
    <w:rsid w:val="00092BB2"/>
    <w:rsid w:val="000A0459"/>
    <w:rsid w:val="000B013F"/>
    <w:rsid w:val="000B69CE"/>
    <w:rsid w:val="000B7988"/>
    <w:rsid w:val="000C3307"/>
    <w:rsid w:val="000C395B"/>
    <w:rsid w:val="000E1192"/>
    <w:rsid w:val="0010588E"/>
    <w:rsid w:val="001104F3"/>
    <w:rsid w:val="00114E97"/>
    <w:rsid w:val="0015771A"/>
    <w:rsid w:val="00161C8E"/>
    <w:rsid w:val="001924FC"/>
    <w:rsid w:val="001A3306"/>
    <w:rsid w:val="001C1447"/>
    <w:rsid w:val="002051DD"/>
    <w:rsid w:val="00216BD5"/>
    <w:rsid w:val="00254D5C"/>
    <w:rsid w:val="00295130"/>
    <w:rsid w:val="00312EFB"/>
    <w:rsid w:val="00354E69"/>
    <w:rsid w:val="003610B9"/>
    <w:rsid w:val="00373F24"/>
    <w:rsid w:val="003B698A"/>
    <w:rsid w:val="003C43E2"/>
    <w:rsid w:val="00414C4A"/>
    <w:rsid w:val="0043033F"/>
    <w:rsid w:val="00432762"/>
    <w:rsid w:val="00440897"/>
    <w:rsid w:val="0045356B"/>
    <w:rsid w:val="00464931"/>
    <w:rsid w:val="00472CD1"/>
    <w:rsid w:val="00474B57"/>
    <w:rsid w:val="00497582"/>
    <w:rsid w:val="004A4F13"/>
    <w:rsid w:val="004B03A1"/>
    <w:rsid w:val="004B47D3"/>
    <w:rsid w:val="004D1112"/>
    <w:rsid w:val="004D4F76"/>
    <w:rsid w:val="004F1FA0"/>
    <w:rsid w:val="004F5E23"/>
    <w:rsid w:val="00513B66"/>
    <w:rsid w:val="0052099A"/>
    <w:rsid w:val="00521CD0"/>
    <w:rsid w:val="00527777"/>
    <w:rsid w:val="00534624"/>
    <w:rsid w:val="005471BB"/>
    <w:rsid w:val="005733AD"/>
    <w:rsid w:val="00597304"/>
    <w:rsid w:val="005B7C2D"/>
    <w:rsid w:val="005C4C6A"/>
    <w:rsid w:val="00603F21"/>
    <w:rsid w:val="006040D2"/>
    <w:rsid w:val="00622760"/>
    <w:rsid w:val="006363F8"/>
    <w:rsid w:val="00644BF1"/>
    <w:rsid w:val="00645026"/>
    <w:rsid w:val="0065389C"/>
    <w:rsid w:val="00660F5D"/>
    <w:rsid w:val="0066636B"/>
    <w:rsid w:val="00667752"/>
    <w:rsid w:val="00670957"/>
    <w:rsid w:val="00680615"/>
    <w:rsid w:val="006C0EDF"/>
    <w:rsid w:val="006C48DB"/>
    <w:rsid w:val="006E37FA"/>
    <w:rsid w:val="006E7539"/>
    <w:rsid w:val="006F2163"/>
    <w:rsid w:val="007312B3"/>
    <w:rsid w:val="00754C4E"/>
    <w:rsid w:val="007565E1"/>
    <w:rsid w:val="00767044"/>
    <w:rsid w:val="007706E7"/>
    <w:rsid w:val="00781218"/>
    <w:rsid w:val="00792175"/>
    <w:rsid w:val="007A0A24"/>
    <w:rsid w:val="007E0B1D"/>
    <w:rsid w:val="00812622"/>
    <w:rsid w:val="008234A6"/>
    <w:rsid w:val="00844972"/>
    <w:rsid w:val="008826DB"/>
    <w:rsid w:val="008B1AE1"/>
    <w:rsid w:val="008C3830"/>
    <w:rsid w:val="008F0E2D"/>
    <w:rsid w:val="00911BF3"/>
    <w:rsid w:val="00913D15"/>
    <w:rsid w:val="00920D5C"/>
    <w:rsid w:val="00923A8A"/>
    <w:rsid w:val="009241F3"/>
    <w:rsid w:val="0092782B"/>
    <w:rsid w:val="009369E4"/>
    <w:rsid w:val="00971E8F"/>
    <w:rsid w:val="00990218"/>
    <w:rsid w:val="009A14C6"/>
    <w:rsid w:val="009E69C5"/>
    <w:rsid w:val="009F0955"/>
    <w:rsid w:val="009F3B59"/>
    <w:rsid w:val="00A15441"/>
    <w:rsid w:val="00A52312"/>
    <w:rsid w:val="00A53BA0"/>
    <w:rsid w:val="00A54A86"/>
    <w:rsid w:val="00A619A6"/>
    <w:rsid w:val="00A6465B"/>
    <w:rsid w:val="00A66863"/>
    <w:rsid w:val="00A740BC"/>
    <w:rsid w:val="00A82AE8"/>
    <w:rsid w:val="00AB6FC8"/>
    <w:rsid w:val="00AE7197"/>
    <w:rsid w:val="00B0045B"/>
    <w:rsid w:val="00B0144C"/>
    <w:rsid w:val="00B04B1F"/>
    <w:rsid w:val="00B35622"/>
    <w:rsid w:val="00B41B59"/>
    <w:rsid w:val="00B70253"/>
    <w:rsid w:val="00BC3283"/>
    <w:rsid w:val="00BD51D9"/>
    <w:rsid w:val="00BD7B8F"/>
    <w:rsid w:val="00C151F5"/>
    <w:rsid w:val="00C272BE"/>
    <w:rsid w:val="00C47686"/>
    <w:rsid w:val="00C57AB4"/>
    <w:rsid w:val="00C7624A"/>
    <w:rsid w:val="00CB0CFF"/>
    <w:rsid w:val="00CC64E5"/>
    <w:rsid w:val="00CD4E78"/>
    <w:rsid w:val="00CD4FCD"/>
    <w:rsid w:val="00CF41FD"/>
    <w:rsid w:val="00CF65EC"/>
    <w:rsid w:val="00D261E7"/>
    <w:rsid w:val="00D27316"/>
    <w:rsid w:val="00D33B4A"/>
    <w:rsid w:val="00D3606A"/>
    <w:rsid w:val="00D477C3"/>
    <w:rsid w:val="00D6321A"/>
    <w:rsid w:val="00D8670E"/>
    <w:rsid w:val="00D876D2"/>
    <w:rsid w:val="00DA64A9"/>
    <w:rsid w:val="00DC15F2"/>
    <w:rsid w:val="00DF62D8"/>
    <w:rsid w:val="00E10E2B"/>
    <w:rsid w:val="00E171AE"/>
    <w:rsid w:val="00E403B5"/>
    <w:rsid w:val="00E51DCF"/>
    <w:rsid w:val="00E5246F"/>
    <w:rsid w:val="00EA7C5B"/>
    <w:rsid w:val="00EC4AFF"/>
    <w:rsid w:val="00EC6B52"/>
    <w:rsid w:val="00EE5F1C"/>
    <w:rsid w:val="00F21F11"/>
    <w:rsid w:val="00F63785"/>
    <w:rsid w:val="00F91F27"/>
    <w:rsid w:val="00F94759"/>
    <w:rsid w:val="00FA04A3"/>
    <w:rsid w:val="00FF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56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241F3"/>
  </w:style>
  <w:style w:type="character" w:customStyle="1" w:styleId="FootnoteTextChar">
    <w:name w:val="Footnote Text Char"/>
    <w:basedOn w:val="DefaultParagraphFont"/>
    <w:link w:val="FootnoteText"/>
    <w:uiPriority w:val="99"/>
    <w:rsid w:val="009241F3"/>
  </w:style>
  <w:style w:type="character" w:styleId="FootnoteReference">
    <w:name w:val="footnote reference"/>
    <w:basedOn w:val="DefaultParagraphFont"/>
    <w:unhideWhenUsed/>
    <w:rsid w:val="009241F3"/>
    <w:rPr>
      <w:vertAlign w:val="superscript"/>
    </w:rPr>
  </w:style>
  <w:style w:type="paragraph" w:styleId="ListParagraph">
    <w:name w:val="List Paragraph"/>
    <w:basedOn w:val="Normal"/>
    <w:uiPriority w:val="34"/>
    <w:qFormat/>
    <w:rsid w:val="0065389C"/>
    <w:pPr>
      <w:ind w:left="720"/>
      <w:contextualSpacing/>
    </w:pPr>
    <w:rPr>
      <w:rFonts w:ascii="Times" w:hAnsi="Times"/>
      <w:sz w:val="20"/>
      <w:szCs w:val="20"/>
    </w:rPr>
  </w:style>
  <w:style w:type="character" w:styleId="Hyperlink">
    <w:name w:val="Hyperlink"/>
    <w:rsid w:val="009F0955"/>
    <w:rPr>
      <w:color w:val="0000FF"/>
      <w:u w:val="single"/>
    </w:rPr>
  </w:style>
  <w:style w:type="paragraph" w:styleId="BodyText">
    <w:name w:val="Body Text"/>
    <w:basedOn w:val="Normal"/>
    <w:link w:val="BodyTextChar"/>
    <w:rsid w:val="009F0955"/>
    <w:pPr>
      <w:jc w:val="both"/>
    </w:pPr>
    <w:rPr>
      <w:rFonts w:ascii="Arial" w:eastAsia="Times New Roman" w:hAnsi="Arial" w:cs="Times New Roman"/>
      <w:noProof/>
      <w:szCs w:val="20"/>
    </w:rPr>
  </w:style>
  <w:style w:type="character" w:customStyle="1" w:styleId="BodyTextChar">
    <w:name w:val="Body Text Char"/>
    <w:basedOn w:val="DefaultParagraphFont"/>
    <w:link w:val="BodyText"/>
    <w:rsid w:val="009F0955"/>
    <w:rPr>
      <w:rFonts w:ascii="Arial" w:eastAsia="Times New Roman" w:hAnsi="Arial" w:cs="Times New Roman"/>
      <w:noProof/>
      <w:szCs w:val="20"/>
    </w:rPr>
  </w:style>
  <w:style w:type="paragraph" w:styleId="BlockText">
    <w:name w:val="Block Text"/>
    <w:basedOn w:val="Normal"/>
    <w:rsid w:val="009F0955"/>
    <w:pPr>
      <w:spacing w:after="240"/>
      <w:ind w:left="1440" w:right="1440"/>
      <w:jc w:val="both"/>
    </w:pPr>
    <w:rPr>
      <w:rFonts w:ascii="Times New Roman" w:eastAsia="Times New Roman" w:hAnsi="Times New Roman" w:cs="Times New Roman"/>
      <w:noProof/>
      <w:szCs w:val="20"/>
    </w:rPr>
  </w:style>
  <w:style w:type="paragraph" w:customStyle="1" w:styleId="Default">
    <w:name w:val="Default"/>
    <w:rsid w:val="009F0955"/>
    <w:pPr>
      <w:autoSpaceDE w:val="0"/>
      <w:autoSpaceDN w:val="0"/>
      <w:adjustRightInd w:val="0"/>
    </w:pPr>
    <w:rPr>
      <w:rFonts w:ascii="Times New Roman" w:eastAsia="Times New Roman" w:hAnsi="Times New Roman" w:cs="Times New Roman"/>
      <w:noProof/>
      <w:color w:val="000000"/>
    </w:rPr>
  </w:style>
  <w:style w:type="paragraph" w:styleId="Footer">
    <w:name w:val="footer"/>
    <w:basedOn w:val="Normal"/>
    <w:link w:val="FooterChar"/>
    <w:uiPriority w:val="99"/>
    <w:unhideWhenUsed/>
    <w:rsid w:val="007706E7"/>
    <w:pPr>
      <w:tabs>
        <w:tab w:val="center" w:pos="4320"/>
        <w:tab w:val="right" w:pos="8640"/>
      </w:tabs>
    </w:pPr>
  </w:style>
  <w:style w:type="character" w:customStyle="1" w:styleId="FooterChar">
    <w:name w:val="Footer Char"/>
    <w:basedOn w:val="DefaultParagraphFont"/>
    <w:link w:val="Footer"/>
    <w:uiPriority w:val="99"/>
    <w:rsid w:val="007706E7"/>
  </w:style>
  <w:style w:type="character" w:styleId="PageNumber">
    <w:name w:val="page number"/>
    <w:basedOn w:val="DefaultParagraphFont"/>
    <w:uiPriority w:val="99"/>
    <w:semiHidden/>
    <w:unhideWhenUsed/>
    <w:rsid w:val="007706E7"/>
  </w:style>
  <w:style w:type="paragraph" w:styleId="Header">
    <w:name w:val="header"/>
    <w:basedOn w:val="Normal"/>
    <w:link w:val="HeaderChar"/>
    <w:uiPriority w:val="99"/>
    <w:unhideWhenUsed/>
    <w:rsid w:val="007706E7"/>
    <w:pPr>
      <w:tabs>
        <w:tab w:val="center" w:pos="4320"/>
        <w:tab w:val="right" w:pos="8640"/>
      </w:tabs>
    </w:pPr>
  </w:style>
  <w:style w:type="character" w:customStyle="1" w:styleId="HeaderChar">
    <w:name w:val="Header Char"/>
    <w:basedOn w:val="DefaultParagraphFont"/>
    <w:link w:val="Header"/>
    <w:uiPriority w:val="99"/>
    <w:rsid w:val="007706E7"/>
  </w:style>
  <w:style w:type="character" w:styleId="FollowedHyperlink">
    <w:name w:val="FollowedHyperlink"/>
    <w:basedOn w:val="DefaultParagraphFont"/>
    <w:uiPriority w:val="99"/>
    <w:semiHidden/>
    <w:unhideWhenUsed/>
    <w:rsid w:val="00B41B59"/>
    <w:rPr>
      <w:color w:val="800080" w:themeColor="followedHyperlink"/>
      <w:u w:val="single"/>
    </w:rPr>
  </w:style>
  <w:style w:type="paragraph" w:styleId="NormalWeb">
    <w:name w:val="Normal (Web)"/>
    <w:basedOn w:val="Normal"/>
    <w:uiPriority w:val="99"/>
    <w:unhideWhenUsed/>
    <w:rsid w:val="00216BD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241F3"/>
  </w:style>
  <w:style w:type="character" w:customStyle="1" w:styleId="FootnoteTextChar">
    <w:name w:val="Footnote Text Char"/>
    <w:basedOn w:val="DefaultParagraphFont"/>
    <w:link w:val="FootnoteText"/>
    <w:uiPriority w:val="99"/>
    <w:rsid w:val="009241F3"/>
  </w:style>
  <w:style w:type="character" w:styleId="FootnoteReference">
    <w:name w:val="footnote reference"/>
    <w:basedOn w:val="DefaultParagraphFont"/>
    <w:unhideWhenUsed/>
    <w:rsid w:val="009241F3"/>
    <w:rPr>
      <w:vertAlign w:val="superscript"/>
    </w:rPr>
  </w:style>
  <w:style w:type="paragraph" w:styleId="ListParagraph">
    <w:name w:val="List Paragraph"/>
    <w:basedOn w:val="Normal"/>
    <w:uiPriority w:val="34"/>
    <w:qFormat/>
    <w:rsid w:val="0065389C"/>
    <w:pPr>
      <w:ind w:left="720"/>
      <w:contextualSpacing/>
    </w:pPr>
    <w:rPr>
      <w:rFonts w:ascii="Times" w:hAnsi="Times"/>
      <w:sz w:val="20"/>
      <w:szCs w:val="20"/>
    </w:rPr>
  </w:style>
  <w:style w:type="character" w:styleId="Hyperlink">
    <w:name w:val="Hyperlink"/>
    <w:rsid w:val="009F0955"/>
    <w:rPr>
      <w:color w:val="0000FF"/>
      <w:u w:val="single"/>
    </w:rPr>
  </w:style>
  <w:style w:type="paragraph" w:styleId="BodyText">
    <w:name w:val="Body Text"/>
    <w:basedOn w:val="Normal"/>
    <w:link w:val="BodyTextChar"/>
    <w:rsid w:val="009F0955"/>
    <w:pPr>
      <w:jc w:val="both"/>
    </w:pPr>
    <w:rPr>
      <w:rFonts w:ascii="Arial" w:eastAsia="Times New Roman" w:hAnsi="Arial" w:cs="Times New Roman"/>
      <w:noProof/>
      <w:szCs w:val="20"/>
    </w:rPr>
  </w:style>
  <w:style w:type="character" w:customStyle="1" w:styleId="BodyTextChar">
    <w:name w:val="Body Text Char"/>
    <w:basedOn w:val="DefaultParagraphFont"/>
    <w:link w:val="BodyText"/>
    <w:rsid w:val="009F0955"/>
    <w:rPr>
      <w:rFonts w:ascii="Arial" w:eastAsia="Times New Roman" w:hAnsi="Arial" w:cs="Times New Roman"/>
      <w:noProof/>
      <w:szCs w:val="20"/>
    </w:rPr>
  </w:style>
  <w:style w:type="paragraph" w:styleId="BlockText">
    <w:name w:val="Block Text"/>
    <w:basedOn w:val="Normal"/>
    <w:rsid w:val="009F0955"/>
    <w:pPr>
      <w:spacing w:after="240"/>
      <w:ind w:left="1440" w:right="1440"/>
      <w:jc w:val="both"/>
    </w:pPr>
    <w:rPr>
      <w:rFonts w:ascii="Times New Roman" w:eastAsia="Times New Roman" w:hAnsi="Times New Roman" w:cs="Times New Roman"/>
      <w:noProof/>
      <w:szCs w:val="20"/>
    </w:rPr>
  </w:style>
  <w:style w:type="paragraph" w:customStyle="1" w:styleId="Default">
    <w:name w:val="Default"/>
    <w:rsid w:val="009F0955"/>
    <w:pPr>
      <w:autoSpaceDE w:val="0"/>
      <w:autoSpaceDN w:val="0"/>
      <w:adjustRightInd w:val="0"/>
    </w:pPr>
    <w:rPr>
      <w:rFonts w:ascii="Times New Roman" w:eastAsia="Times New Roman" w:hAnsi="Times New Roman" w:cs="Times New Roman"/>
      <w:noProof/>
      <w:color w:val="000000"/>
    </w:rPr>
  </w:style>
  <w:style w:type="paragraph" w:styleId="Footer">
    <w:name w:val="footer"/>
    <w:basedOn w:val="Normal"/>
    <w:link w:val="FooterChar"/>
    <w:uiPriority w:val="99"/>
    <w:unhideWhenUsed/>
    <w:rsid w:val="007706E7"/>
    <w:pPr>
      <w:tabs>
        <w:tab w:val="center" w:pos="4320"/>
        <w:tab w:val="right" w:pos="8640"/>
      </w:tabs>
    </w:pPr>
  </w:style>
  <w:style w:type="character" w:customStyle="1" w:styleId="FooterChar">
    <w:name w:val="Footer Char"/>
    <w:basedOn w:val="DefaultParagraphFont"/>
    <w:link w:val="Footer"/>
    <w:uiPriority w:val="99"/>
    <w:rsid w:val="007706E7"/>
  </w:style>
  <w:style w:type="character" w:styleId="PageNumber">
    <w:name w:val="page number"/>
    <w:basedOn w:val="DefaultParagraphFont"/>
    <w:uiPriority w:val="99"/>
    <w:semiHidden/>
    <w:unhideWhenUsed/>
    <w:rsid w:val="007706E7"/>
  </w:style>
  <w:style w:type="paragraph" w:styleId="Header">
    <w:name w:val="header"/>
    <w:basedOn w:val="Normal"/>
    <w:link w:val="HeaderChar"/>
    <w:uiPriority w:val="99"/>
    <w:unhideWhenUsed/>
    <w:rsid w:val="007706E7"/>
    <w:pPr>
      <w:tabs>
        <w:tab w:val="center" w:pos="4320"/>
        <w:tab w:val="right" w:pos="8640"/>
      </w:tabs>
    </w:pPr>
  </w:style>
  <w:style w:type="character" w:customStyle="1" w:styleId="HeaderChar">
    <w:name w:val="Header Char"/>
    <w:basedOn w:val="DefaultParagraphFont"/>
    <w:link w:val="Header"/>
    <w:uiPriority w:val="99"/>
    <w:rsid w:val="007706E7"/>
  </w:style>
  <w:style w:type="character" w:styleId="FollowedHyperlink">
    <w:name w:val="FollowedHyperlink"/>
    <w:basedOn w:val="DefaultParagraphFont"/>
    <w:uiPriority w:val="99"/>
    <w:semiHidden/>
    <w:unhideWhenUsed/>
    <w:rsid w:val="00B41B59"/>
    <w:rPr>
      <w:color w:val="800080" w:themeColor="followedHyperlink"/>
      <w:u w:val="single"/>
    </w:rPr>
  </w:style>
  <w:style w:type="paragraph" w:styleId="NormalWeb">
    <w:name w:val="Normal (Web)"/>
    <w:basedOn w:val="Normal"/>
    <w:uiPriority w:val="99"/>
    <w:unhideWhenUsed/>
    <w:rsid w:val="00216BD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922">
      <w:bodyDiv w:val="1"/>
      <w:marLeft w:val="0"/>
      <w:marRight w:val="0"/>
      <w:marTop w:val="0"/>
      <w:marBottom w:val="0"/>
      <w:divBdr>
        <w:top w:val="none" w:sz="0" w:space="0" w:color="auto"/>
        <w:left w:val="none" w:sz="0" w:space="0" w:color="auto"/>
        <w:bottom w:val="none" w:sz="0" w:space="0" w:color="auto"/>
        <w:right w:val="none" w:sz="0" w:space="0" w:color="auto"/>
      </w:divBdr>
    </w:div>
    <w:div w:id="414517553">
      <w:bodyDiv w:val="1"/>
      <w:marLeft w:val="0"/>
      <w:marRight w:val="0"/>
      <w:marTop w:val="0"/>
      <w:marBottom w:val="0"/>
      <w:divBdr>
        <w:top w:val="none" w:sz="0" w:space="0" w:color="auto"/>
        <w:left w:val="none" w:sz="0" w:space="0" w:color="auto"/>
        <w:bottom w:val="none" w:sz="0" w:space="0" w:color="auto"/>
        <w:right w:val="none" w:sz="0" w:space="0" w:color="auto"/>
      </w:divBdr>
      <w:divsChild>
        <w:div w:id="1742605096">
          <w:marLeft w:val="1426"/>
          <w:marRight w:val="0"/>
          <w:marTop w:val="115"/>
          <w:marBottom w:val="0"/>
          <w:divBdr>
            <w:top w:val="none" w:sz="0" w:space="0" w:color="auto"/>
            <w:left w:val="none" w:sz="0" w:space="0" w:color="auto"/>
            <w:bottom w:val="none" w:sz="0" w:space="0" w:color="auto"/>
            <w:right w:val="none" w:sz="0" w:space="0" w:color="auto"/>
          </w:divBdr>
        </w:div>
      </w:divsChild>
    </w:div>
    <w:div w:id="617757952">
      <w:bodyDiv w:val="1"/>
      <w:marLeft w:val="0"/>
      <w:marRight w:val="0"/>
      <w:marTop w:val="0"/>
      <w:marBottom w:val="0"/>
      <w:divBdr>
        <w:top w:val="none" w:sz="0" w:space="0" w:color="auto"/>
        <w:left w:val="none" w:sz="0" w:space="0" w:color="auto"/>
        <w:bottom w:val="none" w:sz="0" w:space="0" w:color="auto"/>
        <w:right w:val="none" w:sz="0" w:space="0" w:color="auto"/>
      </w:divBdr>
      <w:divsChild>
        <w:div w:id="1800607641">
          <w:marLeft w:val="1426"/>
          <w:marRight w:val="0"/>
          <w:marTop w:val="115"/>
          <w:marBottom w:val="0"/>
          <w:divBdr>
            <w:top w:val="none" w:sz="0" w:space="0" w:color="auto"/>
            <w:left w:val="none" w:sz="0" w:space="0" w:color="auto"/>
            <w:bottom w:val="none" w:sz="0" w:space="0" w:color="auto"/>
            <w:right w:val="none" w:sz="0" w:space="0" w:color="auto"/>
          </w:divBdr>
        </w:div>
        <w:div w:id="1460611695">
          <w:marLeft w:val="1426"/>
          <w:marRight w:val="0"/>
          <w:marTop w:val="115"/>
          <w:marBottom w:val="0"/>
          <w:divBdr>
            <w:top w:val="none" w:sz="0" w:space="0" w:color="auto"/>
            <w:left w:val="none" w:sz="0" w:space="0" w:color="auto"/>
            <w:bottom w:val="none" w:sz="0" w:space="0" w:color="auto"/>
            <w:right w:val="none" w:sz="0" w:space="0" w:color="auto"/>
          </w:divBdr>
        </w:div>
        <w:div w:id="253786078">
          <w:marLeft w:val="1426"/>
          <w:marRight w:val="0"/>
          <w:marTop w:val="115"/>
          <w:marBottom w:val="0"/>
          <w:divBdr>
            <w:top w:val="none" w:sz="0" w:space="0" w:color="auto"/>
            <w:left w:val="none" w:sz="0" w:space="0" w:color="auto"/>
            <w:bottom w:val="none" w:sz="0" w:space="0" w:color="auto"/>
            <w:right w:val="none" w:sz="0" w:space="0" w:color="auto"/>
          </w:divBdr>
        </w:div>
      </w:divsChild>
    </w:div>
    <w:div w:id="819035490">
      <w:bodyDiv w:val="1"/>
      <w:marLeft w:val="0"/>
      <w:marRight w:val="0"/>
      <w:marTop w:val="0"/>
      <w:marBottom w:val="0"/>
      <w:divBdr>
        <w:top w:val="none" w:sz="0" w:space="0" w:color="auto"/>
        <w:left w:val="none" w:sz="0" w:space="0" w:color="auto"/>
        <w:bottom w:val="none" w:sz="0" w:space="0" w:color="auto"/>
        <w:right w:val="none" w:sz="0" w:space="0" w:color="auto"/>
      </w:divBdr>
      <w:divsChild>
        <w:div w:id="247010228">
          <w:marLeft w:val="734"/>
          <w:marRight w:val="0"/>
          <w:marTop w:val="106"/>
          <w:marBottom w:val="0"/>
          <w:divBdr>
            <w:top w:val="none" w:sz="0" w:space="0" w:color="auto"/>
            <w:left w:val="none" w:sz="0" w:space="0" w:color="auto"/>
            <w:bottom w:val="none" w:sz="0" w:space="0" w:color="auto"/>
            <w:right w:val="none" w:sz="0" w:space="0" w:color="auto"/>
          </w:divBdr>
        </w:div>
        <w:div w:id="1364208799">
          <w:marLeft w:val="734"/>
          <w:marRight w:val="0"/>
          <w:marTop w:val="106"/>
          <w:marBottom w:val="0"/>
          <w:divBdr>
            <w:top w:val="none" w:sz="0" w:space="0" w:color="auto"/>
            <w:left w:val="none" w:sz="0" w:space="0" w:color="auto"/>
            <w:bottom w:val="none" w:sz="0" w:space="0" w:color="auto"/>
            <w:right w:val="none" w:sz="0" w:space="0" w:color="auto"/>
          </w:divBdr>
        </w:div>
        <w:div w:id="1015883820">
          <w:marLeft w:val="734"/>
          <w:marRight w:val="0"/>
          <w:marTop w:val="106"/>
          <w:marBottom w:val="0"/>
          <w:divBdr>
            <w:top w:val="none" w:sz="0" w:space="0" w:color="auto"/>
            <w:left w:val="none" w:sz="0" w:space="0" w:color="auto"/>
            <w:bottom w:val="none" w:sz="0" w:space="0" w:color="auto"/>
            <w:right w:val="none" w:sz="0" w:space="0" w:color="auto"/>
          </w:divBdr>
        </w:div>
      </w:divsChild>
    </w:div>
    <w:div w:id="949311836">
      <w:bodyDiv w:val="1"/>
      <w:marLeft w:val="0"/>
      <w:marRight w:val="0"/>
      <w:marTop w:val="0"/>
      <w:marBottom w:val="0"/>
      <w:divBdr>
        <w:top w:val="none" w:sz="0" w:space="0" w:color="auto"/>
        <w:left w:val="none" w:sz="0" w:space="0" w:color="auto"/>
        <w:bottom w:val="none" w:sz="0" w:space="0" w:color="auto"/>
        <w:right w:val="none" w:sz="0" w:space="0" w:color="auto"/>
      </w:divBdr>
    </w:div>
    <w:div w:id="1273198015">
      <w:bodyDiv w:val="1"/>
      <w:marLeft w:val="0"/>
      <w:marRight w:val="0"/>
      <w:marTop w:val="0"/>
      <w:marBottom w:val="0"/>
      <w:divBdr>
        <w:top w:val="none" w:sz="0" w:space="0" w:color="auto"/>
        <w:left w:val="none" w:sz="0" w:space="0" w:color="auto"/>
        <w:bottom w:val="none" w:sz="0" w:space="0" w:color="auto"/>
        <w:right w:val="none" w:sz="0" w:space="0" w:color="auto"/>
      </w:divBdr>
      <w:divsChild>
        <w:div w:id="353463204">
          <w:marLeft w:val="0"/>
          <w:marRight w:val="0"/>
          <w:marTop w:val="0"/>
          <w:marBottom w:val="0"/>
          <w:divBdr>
            <w:top w:val="none" w:sz="0" w:space="0" w:color="auto"/>
            <w:left w:val="none" w:sz="0" w:space="0" w:color="auto"/>
            <w:bottom w:val="none" w:sz="0" w:space="0" w:color="auto"/>
            <w:right w:val="none" w:sz="0" w:space="0" w:color="auto"/>
          </w:divBdr>
          <w:divsChild>
            <w:div w:id="2013020283">
              <w:marLeft w:val="0"/>
              <w:marRight w:val="0"/>
              <w:marTop w:val="0"/>
              <w:marBottom w:val="0"/>
              <w:divBdr>
                <w:top w:val="none" w:sz="0" w:space="0" w:color="auto"/>
                <w:left w:val="none" w:sz="0" w:space="0" w:color="auto"/>
                <w:bottom w:val="none" w:sz="0" w:space="0" w:color="auto"/>
                <w:right w:val="none" w:sz="0" w:space="0" w:color="auto"/>
              </w:divBdr>
              <w:divsChild>
                <w:div w:id="1736006288">
                  <w:marLeft w:val="0"/>
                  <w:marRight w:val="0"/>
                  <w:marTop w:val="0"/>
                  <w:marBottom w:val="0"/>
                  <w:divBdr>
                    <w:top w:val="none" w:sz="0" w:space="0" w:color="auto"/>
                    <w:left w:val="none" w:sz="0" w:space="0" w:color="auto"/>
                    <w:bottom w:val="none" w:sz="0" w:space="0" w:color="auto"/>
                    <w:right w:val="none" w:sz="0" w:space="0" w:color="auto"/>
                  </w:divBdr>
                </w:div>
              </w:divsChild>
            </w:div>
            <w:div w:id="1342052741">
              <w:marLeft w:val="0"/>
              <w:marRight w:val="0"/>
              <w:marTop w:val="0"/>
              <w:marBottom w:val="0"/>
              <w:divBdr>
                <w:top w:val="none" w:sz="0" w:space="0" w:color="auto"/>
                <w:left w:val="none" w:sz="0" w:space="0" w:color="auto"/>
                <w:bottom w:val="none" w:sz="0" w:space="0" w:color="auto"/>
                <w:right w:val="none" w:sz="0" w:space="0" w:color="auto"/>
              </w:divBdr>
              <w:divsChild>
                <w:div w:id="1558513160">
                  <w:marLeft w:val="0"/>
                  <w:marRight w:val="0"/>
                  <w:marTop w:val="0"/>
                  <w:marBottom w:val="0"/>
                  <w:divBdr>
                    <w:top w:val="none" w:sz="0" w:space="0" w:color="auto"/>
                    <w:left w:val="none" w:sz="0" w:space="0" w:color="auto"/>
                    <w:bottom w:val="none" w:sz="0" w:space="0" w:color="auto"/>
                    <w:right w:val="none" w:sz="0" w:space="0" w:color="auto"/>
                  </w:divBdr>
                </w:div>
                <w:div w:id="21090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8890">
          <w:marLeft w:val="0"/>
          <w:marRight w:val="0"/>
          <w:marTop w:val="0"/>
          <w:marBottom w:val="0"/>
          <w:divBdr>
            <w:top w:val="none" w:sz="0" w:space="0" w:color="auto"/>
            <w:left w:val="none" w:sz="0" w:space="0" w:color="auto"/>
            <w:bottom w:val="none" w:sz="0" w:space="0" w:color="auto"/>
            <w:right w:val="none" w:sz="0" w:space="0" w:color="auto"/>
          </w:divBdr>
          <w:divsChild>
            <w:div w:id="1874077345">
              <w:marLeft w:val="0"/>
              <w:marRight w:val="0"/>
              <w:marTop w:val="0"/>
              <w:marBottom w:val="0"/>
              <w:divBdr>
                <w:top w:val="none" w:sz="0" w:space="0" w:color="auto"/>
                <w:left w:val="none" w:sz="0" w:space="0" w:color="auto"/>
                <w:bottom w:val="none" w:sz="0" w:space="0" w:color="auto"/>
                <w:right w:val="none" w:sz="0" w:space="0" w:color="auto"/>
              </w:divBdr>
              <w:divsChild>
                <w:div w:id="463156988">
                  <w:marLeft w:val="0"/>
                  <w:marRight w:val="0"/>
                  <w:marTop w:val="0"/>
                  <w:marBottom w:val="0"/>
                  <w:divBdr>
                    <w:top w:val="none" w:sz="0" w:space="0" w:color="auto"/>
                    <w:left w:val="none" w:sz="0" w:space="0" w:color="auto"/>
                    <w:bottom w:val="none" w:sz="0" w:space="0" w:color="auto"/>
                    <w:right w:val="none" w:sz="0" w:space="0" w:color="auto"/>
                  </w:divBdr>
                </w:div>
              </w:divsChild>
            </w:div>
            <w:div w:id="1881086681">
              <w:marLeft w:val="0"/>
              <w:marRight w:val="0"/>
              <w:marTop w:val="0"/>
              <w:marBottom w:val="0"/>
              <w:divBdr>
                <w:top w:val="none" w:sz="0" w:space="0" w:color="auto"/>
                <w:left w:val="none" w:sz="0" w:space="0" w:color="auto"/>
                <w:bottom w:val="none" w:sz="0" w:space="0" w:color="auto"/>
                <w:right w:val="none" w:sz="0" w:space="0" w:color="auto"/>
              </w:divBdr>
              <w:divsChild>
                <w:div w:id="99228862">
                  <w:marLeft w:val="0"/>
                  <w:marRight w:val="0"/>
                  <w:marTop w:val="0"/>
                  <w:marBottom w:val="0"/>
                  <w:divBdr>
                    <w:top w:val="none" w:sz="0" w:space="0" w:color="auto"/>
                    <w:left w:val="none" w:sz="0" w:space="0" w:color="auto"/>
                    <w:bottom w:val="none" w:sz="0" w:space="0" w:color="auto"/>
                    <w:right w:val="none" w:sz="0" w:space="0" w:color="auto"/>
                  </w:divBdr>
                </w:div>
                <w:div w:id="1178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7655">
          <w:marLeft w:val="0"/>
          <w:marRight w:val="0"/>
          <w:marTop w:val="0"/>
          <w:marBottom w:val="0"/>
          <w:divBdr>
            <w:top w:val="none" w:sz="0" w:space="0" w:color="auto"/>
            <w:left w:val="none" w:sz="0" w:space="0" w:color="auto"/>
            <w:bottom w:val="none" w:sz="0" w:space="0" w:color="auto"/>
            <w:right w:val="none" w:sz="0" w:space="0" w:color="auto"/>
          </w:divBdr>
          <w:divsChild>
            <w:div w:id="816803887">
              <w:marLeft w:val="0"/>
              <w:marRight w:val="0"/>
              <w:marTop w:val="0"/>
              <w:marBottom w:val="0"/>
              <w:divBdr>
                <w:top w:val="none" w:sz="0" w:space="0" w:color="auto"/>
                <w:left w:val="none" w:sz="0" w:space="0" w:color="auto"/>
                <w:bottom w:val="none" w:sz="0" w:space="0" w:color="auto"/>
                <w:right w:val="none" w:sz="0" w:space="0" w:color="auto"/>
              </w:divBdr>
              <w:divsChild>
                <w:div w:id="1901556809">
                  <w:marLeft w:val="0"/>
                  <w:marRight w:val="0"/>
                  <w:marTop w:val="0"/>
                  <w:marBottom w:val="0"/>
                  <w:divBdr>
                    <w:top w:val="none" w:sz="0" w:space="0" w:color="auto"/>
                    <w:left w:val="none" w:sz="0" w:space="0" w:color="auto"/>
                    <w:bottom w:val="none" w:sz="0" w:space="0" w:color="auto"/>
                    <w:right w:val="none" w:sz="0" w:space="0" w:color="auto"/>
                  </w:divBdr>
                </w:div>
              </w:divsChild>
            </w:div>
            <w:div w:id="1535849945">
              <w:marLeft w:val="0"/>
              <w:marRight w:val="0"/>
              <w:marTop w:val="0"/>
              <w:marBottom w:val="0"/>
              <w:divBdr>
                <w:top w:val="none" w:sz="0" w:space="0" w:color="auto"/>
                <w:left w:val="none" w:sz="0" w:space="0" w:color="auto"/>
                <w:bottom w:val="none" w:sz="0" w:space="0" w:color="auto"/>
                <w:right w:val="none" w:sz="0" w:space="0" w:color="auto"/>
              </w:divBdr>
              <w:divsChild>
                <w:div w:id="1924142359">
                  <w:marLeft w:val="0"/>
                  <w:marRight w:val="0"/>
                  <w:marTop w:val="0"/>
                  <w:marBottom w:val="0"/>
                  <w:divBdr>
                    <w:top w:val="none" w:sz="0" w:space="0" w:color="auto"/>
                    <w:left w:val="none" w:sz="0" w:space="0" w:color="auto"/>
                    <w:bottom w:val="none" w:sz="0" w:space="0" w:color="auto"/>
                    <w:right w:val="none" w:sz="0" w:space="0" w:color="auto"/>
                  </w:divBdr>
                </w:div>
                <w:div w:id="8406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91229">
          <w:marLeft w:val="0"/>
          <w:marRight w:val="0"/>
          <w:marTop w:val="0"/>
          <w:marBottom w:val="0"/>
          <w:divBdr>
            <w:top w:val="none" w:sz="0" w:space="0" w:color="auto"/>
            <w:left w:val="none" w:sz="0" w:space="0" w:color="auto"/>
            <w:bottom w:val="none" w:sz="0" w:space="0" w:color="auto"/>
            <w:right w:val="none" w:sz="0" w:space="0" w:color="auto"/>
          </w:divBdr>
          <w:divsChild>
            <w:div w:id="781801896">
              <w:marLeft w:val="0"/>
              <w:marRight w:val="0"/>
              <w:marTop w:val="0"/>
              <w:marBottom w:val="0"/>
              <w:divBdr>
                <w:top w:val="none" w:sz="0" w:space="0" w:color="auto"/>
                <w:left w:val="none" w:sz="0" w:space="0" w:color="auto"/>
                <w:bottom w:val="none" w:sz="0" w:space="0" w:color="auto"/>
                <w:right w:val="none" w:sz="0" w:space="0" w:color="auto"/>
              </w:divBdr>
              <w:divsChild>
                <w:div w:id="1664359193">
                  <w:marLeft w:val="0"/>
                  <w:marRight w:val="0"/>
                  <w:marTop w:val="0"/>
                  <w:marBottom w:val="0"/>
                  <w:divBdr>
                    <w:top w:val="none" w:sz="0" w:space="0" w:color="auto"/>
                    <w:left w:val="none" w:sz="0" w:space="0" w:color="auto"/>
                    <w:bottom w:val="none" w:sz="0" w:space="0" w:color="auto"/>
                    <w:right w:val="none" w:sz="0" w:space="0" w:color="auto"/>
                  </w:divBdr>
                </w:div>
              </w:divsChild>
            </w:div>
            <w:div w:id="681008342">
              <w:marLeft w:val="0"/>
              <w:marRight w:val="0"/>
              <w:marTop w:val="0"/>
              <w:marBottom w:val="0"/>
              <w:divBdr>
                <w:top w:val="none" w:sz="0" w:space="0" w:color="auto"/>
                <w:left w:val="none" w:sz="0" w:space="0" w:color="auto"/>
                <w:bottom w:val="none" w:sz="0" w:space="0" w:color="auto"/>
                <w:right w:val="none" w:sz="0" w:space="0" w:color="auto"/>
              </w:divBdr>
              <w:divsChild>
                <w:div w:id="635646790">
                  <w:marLeft w:val="0"/>
                  <w:marRight w:val="0"/>
                  <w:marTop w:val="0"/>
                  <w:marBottom w:val="0"/>
                  <w:divBdr>
                    <w:top w:val="none" w:sz="0" w:space="0" w:color="auto"/>
                    <w:left w:val="none" w:sz="0" w:space="0" w:color="auto"/>
                    <w:bottom w:val="none" w:sz="0" w:space="0" w:color="auto"/>
                    <w:right w:val="none" w:sz="0" w:space="0" w:color="auto"/>
                  </w:divBdr>
                </w:div>
                <w:div w:id="4674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5169">
          <w:marLeft w:val="0"/>
          <w:marRight w:val="0"/>
          <w:marTop w:val="0"/>
          <w:marBottom w:val="0"/>
          <w:divBdr>
            <w:top w:val="none" w:sz="0" w:space="0" w:color="auto"/>
            <w:left w:val="none" w:sz="0" w:space="0" w:color="auto"/>
            <w:bottom w:val="none" w:sz="0" w:space="0" w:color="auto"/>
            <w:right w:val="none" w:sz="0" w:space="0" w:color="auto"/>
          </w:divBdr>
          <w:divsChild>
            <w:div w:id="17320523">
              <w:marLeft w:val="0"/>
              <w:marRight w:val="0"/>
              <w:marTop w:val="0"/>
              <w:marBottom w:val="0"/>
              <w:divBdr>
                <w:top w:val="none" w:sz="0" w:space="0" w:color="auto"/>
                <w:left w:val="none" w:sz="0" w:space="0" w:color="auto"/>
                <w:bottom w:val="none" w:sz="0" w:space="0" w:color="auto"/>
                <w:right w:val="none" w:sz="0" w:space="0" w:color="auto"/>
              </w:divBdr>
              <w:divsChild>
                <w:div w:id="10787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2983">
      <w:bodyDiv w:val="1"/>
      <w:marLeft w:val="0"/>
      <w:marRight w:val="0"/>
      <w:marTop w:val="0"/>
      <w:marBottom w:val="0"/>
      <w:divBdr>
        <w:top w:val="none" w:sz="0" w:space="0" w:color="auto"/>
        <w:left w:val="none" w:sz="0" w:space="0" w:color="auto"/>
        <w:bottom w:val="none" w:sz="0" w:space="0" w:color="auto"/>
        <w:right w:val="none" w:sz="0" w:space="0" w:color="auto"/>
      </w:divBdr>
      <w:divsChild>
        <w:div w:id="1305355826">
          <w:marLeft w:val="1426"/>
          <w:marRight w:val="0"/>
          <w:marTop w:val="106"/>
          <w:marBottom w:val="0"/>
          <w:divBdr>
            <w:top w:val="none" w:sz="0" w:space="0" w:color="auto"/>
            <w:left w:val="none" w:sz="0" w:space="0" w:color="auto"/>
            <w:bottom w:val="none" w:sz="0" w:space="0" w:color="auto"/>
            <w:right w:val="none" w:sz="0" w:space="0" w:color="auto"/>
          </w:divBdr>
        </w:div>
        <w:div w:id="1746141960">
          <w:marLeft w:val="1426"/>
          <w:marRight w:val="0"/>
          <w:marTop w:val="106"/>
          <w:marBottom w:val="0"/>
          <w:divBdr>
            <w:top w:val="none" w:sz="0" w:space="0" w:color="auto"/>
            <w:left w:val="none" w:sz="0" w:space="0" w:color="auto"/>
            <w:bottom w:val="none" w:sz="0" w:space="0" w:color="auto"/>
            <w:right w:val="none" w:sz="0" w:space="0" w:color="auto"/>
          </w:divBdr>
        </w:div>
      </w:divsChild>
    </w:div>
    <w:div w:id="1697924493">
      <w:bodyDiv w:val="1"/>
      <w:marLeft w:val="0"/>
      <w:marRight w:val="0"/>
      <w:marTop w:val="0"/>
      <w:marBottom w:val="0"/>
      <w:divBdr>
        <w:top w:val="none" w:sz="0" w:space="0" w:color="auto"/>
        <w:left w:val="none" w:sz="0" w:space="0" w:color="auto"/>
        <w:bottom w:val="none" w:sz="0" w:space="0" w:color="auto"/>
        <w:right w:val="none" w:sz="0" w:space="0" w:color="auto"/>
      </w:divBdr>
    </w:div>
    <w:div w:id="1721175714">
      <w:bodyDiv w:val="1"/>
      <w:marLeft w:val="0"/>
      <w:marRight w:val="0"/>
      <w:marTop w:val="0"/>
      <w:marBottom w:val="0"/>
      <w:divBdr>
        <w:top w:val="none" w:sz="0" w:space="0" w:color="auto"/>
        <w:left w:val="none" w:sz="0" w:space="0" w:color="auto"/>
        <w:bottom w:val="none" w:sz="0" w:space="0" w:color="auto"/>
        <w:right w:val="none" w:sz="0" w:space="0" w:color="auto"/>
      </w:divBdr>
      <w:divsChild>
        <w:div w:id="1271282850">
          <w:marLeft w:val="734"/>
          <w:marRight w:val="0"/>
          <w:marTop w:val="106"/>
          <w:marBottom w:val="0"/>
          <w:divBdr>
            <w:top w:val="none" w:sz="0" w:space="0" w:color="auto"/>
            <w:left w:val="none" w:sz="0" w:space="0" w:color="auto"/>
            <w:bottom w:val="none" w:sz="0" w:space="0" w:color="auto"/>
            <w:right w:val="none" w:sz="0" w:space="0" w:color="auto"/>
          </w:divBdr>
        </w:div>
        <w:div w:id="1305114680">
          <w:marLeft w:val="734"/>
          <w:marRight w:val="0"/>
          <w:marTop w:val="106"/>
          <w:marBottom w:val="0"/>
          <w:divBdr>
            <w:top w:val="none" w:sz="0" w:space="0" w:color="auto"/>
            <w:left w:val="none" w:sz="0" w:space="0" w:color="auto"/>
            <w:bottom w:val="none" w:sz="0" w:space="0" w:color="auto"/>
            <w:right w:val="none" w:sz="0" w:space="0" w:color="auto"/>
          </w:divBdr>
        </w:div>
        <w:div w:id="1531260778">
          <w:marLeft w:val="734"/>
          <w:marRight w:val="0"/>
          <w:marTop w:val="106"/>
          <w:marBottom w:val="0"/>
          <w:divBdr>
            <w:top w:val="none" w:sz="0" w:space="0" w:color="auto"/>
            <w:left w:val="none" w:sz="0" w:space="0" w:color="auto"/>
            <w:bottom w:val="none" w:sz="0" w:space="0" w:color="auto"/>
            <w:right w:val="none" w:sz="0" w:space="0" w:color="auto"/>
          </w:divBdr>
        </w:div>
        <w:div w:id="1598562922">
          <w:marLeft w:val="734"/>
          <w:marRight w:val="0"/>
          <w:marTop w:val="106"/>
          <w:marBottom w:val="0"/>
          <w:divBdr>
            <w:top w:val="none" w:sz="0" w:space="0" w:color="auto"/>
            <w:left w:val="none" w:sz="0" w:space="0" w:color="auto"/>
            <w:bottom w:val="none" w:sz="0" w:space="0" w:color="auto"/>
            <w:right w:val="none" w:sz="0" w:space="0" w:color="auto"/>
          </w:divBdr>
        </w:div>
        <w:div w:id="952983635">
          <w:marLeft w:val="734"/>
          <w:marRight w:val="0"/>
          <w:marTop w:val="106"/>
          <w:marBottom w:val="0"/>
          <w:divBdr>
            <w:top w:val="none" w:sz="0" w:space="0" w:color="auto"/>
            <w:left w:val="none" w:sz="0" w:space="0" w:color="auto"/>
            <w:bottom w:val="none" w:sz="0" w:space="0" w:color="auto"/>
            <w:right w:val="none" w:sz="0" w:space="0" w:color="auto"/>
          </w:divBdr>
        </w:div>
      </w:divsChild>
    </w:div>
    <w:div w:id="1915236420">
      <w:bodyDiv w:val="1"/>
      <w:marLeft w:val="0"/>
      <w:marRight w:val="0"/>
      <w:marTop w:val="0"/>
      <w:marBottom w:val="0"/>
      <w:divBdr>
        <w:top w:val="none" w:sz="0" w:space="0" w:color="auto"/>
        <w:left w:val="none" w:sz="0" w:space="0" w:color="auto"/>
        <w:bottom w:val="none" w:sz="0" w:space="0" w:color="auto"/>
        <w:right w:val="none" w:sz="0" w:space="0" w:color="auto"/>
      </w:divBdr>
    </w:div>
    <w:div w:id="1917470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oig.hhs.gov/exclusions/advisories.asp" TargetMode="External"/><Relationship Id="rId2" Type="http://schemas.openxmlformats.org/officeDocument/2006/relationships/hyperlink" Target="http://oig.hhs.gov/newsroom/testimony-and-speeches/index.asp" TargetMode="External"/><Relationship Id="rId1" Type="http://schemas.openxmlformats.org/officeDocument/2006/relationships/hyperlink" Target="mailto:Jeff.Miller.ECI@icloud.com" TargetMode="External"/><Relationship Id="rId6" Type="http://schemas.openxmlformats.org/officeDocument/2006/relationships/hyperlink" Target="http://bit.ly/justice-corp-charging" TargetMode="External"/><Relationship Id="rId5" Type="http://schemas.openxmlformats.org/officeDocument/2006/relationships/hyperlink" Target="http://www.justice.gov/dag/file/769036/download" TargetMode="External"/><Relationship Id="rId4" Type="http://schemas.openxmlformats.org/officeDocument/2006/relationships/hyperlink" Target="http://oig.hhs.gov/newsroom/testimony-and-speeche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4558</Words>
  <Characters>25983</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Miller Enterprises</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Miller</dc:creator>
  <cp:lastModifiedBy>Smith, Beckie</cp:lastModifiedBy>
  <cp:revision>2</cp:revision>
  <cp:lastPrinted>2016-01-21T16:16:00Z</cp:lastPrinted>
  <dcterms:created xsi:type="dcterms:W3CDTF">2016-05-20T16:46:00Z</dcterms:created>
  <dcterms:modified xsi:type="dcterms:W3CDTF">2016-05-20T16:46:00Z</dcterms:modified>
</cp:coreProperties>
</file>